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5C062" w14:textId="3E2C7551" w:rsidR="00CD2E15" w:rsidRPr="00CD2E15" w:rsidRDefault="00B358A1" w:rsidP="00CD2E15">
      <w:pPr>
        <w:jc w:val="center"/>
        <w:rPr>
          <w:rFonts w:ascii="Arial Black" w:hAnsi="Arial Black"/>
          <w:b/>
          <w:sz w:val="40"/>
        </w:rPr>
      </w:pPr>
      <w:r>
        <w:rPr>
          <w:rFonts w:ascii="Arial Black" w:hAnsi="Arial Black"/>
          <w:b/>
          <w:sz w:val="40"/>
        </w:rPr>
        <w:t>20</w:t>
      </w:r>
      <w:r w:rsidR="003C3CD0">
        <w:rPr>
          <w:rFonts w:ascii="Arial Black" w:hAnsi="Arial Black"/>
          <w:b/>
          <w:sz w:val="40"/>
        </w:rPr>
        <w:t>23</w:t>
      </w:r>
      <w:r w:rsidR="00CD2E15" w:rsidRPr="00CD2E15">
        <w:rPr>
          <w:rFonts w:ascii="Arial Black" w:hAnsi="Arial Black"/>
          <w:b/>
          <w:sz w:val="40"/>
        </w:rPr>
        <w:t xml:space="preserve"> BUDGET OVERVIEW</w:t>
      </w:r>
    </w:p>
    <w:p w14:paraId="510213A5" w14:textId="73356173" w:rsidR="00CD2E15" w:rsidRPr="00CD2E15" w:rsidRDefault="00B358A1">
      <w:pPr>
        <w:rPr>
          <w:rFonts w:ascii="Arial Black" w:hAnsi="Arial Black"/>
          <w:sz w:val="28"/>
        </w:rPr>
      </w:pPr>
      <w:r>
        <w:rPr>
          <w:rFonts w:ascii="Arial Black" w:hAnsi="Arial Black"/>
          <w:sz w:val="28"/>
        </w:rPr>
        <w:t>20</w:t>
      </w:r>
      <w:r w:rsidR="003C3CD0">
        <w:rPr>
          <w:rFonts w:ascii="Arial Black" w:hAnsi="Arial Black"/>
          <w:sz w:val="28"/>
        </w:rPr>
        <w:t xml:space="preserve">23 </w:t>
      </w:r>
      <w:r w:rsidR="00CD2E15" w:rsidRPr="00CD2E15">
        <w:rPr>
          <w:rFonts w:ascii="Arial Black" w:hAnsi="Arial Black"/>
          <w:sz w:val="28"/>
        </w:rPr>
        <w:t xml:space="preserve">Financial Overview </w:t>
      </w:r>
    </w:p>
    <w:p w14:paraId="57B87992" w14:textId="77777777" w:rsidR="00CD2E15" w:rsidRPr="00CD2E15" w:rsidRDefault="00CD2E15">
      <w:pPr>
        <w:rPr>
          <w:rFonts w:ascii="Arial Black" w:hAnsi="Arial Black"/>
        </w:rPr>
      </w:pPr>
      <w:r w:rsidRPr="00CD2E15">
        <w:rPr>
          <w:rFonts w:ascii="Arial Black" w:hAnsi="Arial Black"/>
        </w:rPr>
        <w:t xml:space="preserve">Total City </w:t>
      </w:r>
    </w:p>
    <w:p w14:paraId="5B1CC262" w14:textId="791D2650" w:rsidR="00CD2E15" w:rsidRDefault="00CD2E15">
      <w:r>
        <w:t xml:space="preserve">The City’s Operating Budget is comprised of 57 separate funds, each with a unique purpose. The budget funds day-to-day expenditures for a variety of services. Among these are police and fire protection, water and sewer services, transit, street maintenance, parks and the library, debt service, and support services. These basic services are funded by user fees, taxes, permits, grants, state-shared revenues and other charges. The budget can vary greatly from year to year depending on construction projects and equipment replacement schedules. As summarized below, the total City expenditure budget increased by $11.2 million between </w:t>
      </w:r>
      <w:r w:rsidR="003C3CD0">
        <w:t>2021</w:t>
      </w:r>
      <w:r w:rsidR="009A0653">
        <w:t xml:space="preserve"> and </w:t>
      </w:r>
      <w:r w:rsidR="003C3CD0">
        <w:t>2022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2578"/>
        <w:gridCol w:w="2578"/>
        <w:gridCol w:w="2559"/>
      </w:tblGrid>
      <w:tr w:rsidR="00CD2E15" w14:paraId="439C5AE2" w14:textId="77777777" w:rsidTr="00864971">
        <w:tc>
          <w:tcPr>
            <w:tcW w:w="2754" w:type="dxa"/>
          </w:tcPr>
          <w:p w14:paraId="795A1C77" w14:textId="77777777" w:rsidR="00CD2E15" w:rsidRPr="00864971" w:rsidRDefault="00CD2E15" w:rsidP="00864971">
            <w:pPr>
              <w:jc w:val="center"/>
              <w:rPr>
                <w:u w:val="single"/>
              </w:rPr>
            </w:pPr>
            <w:r w:rsidRPr="00864971">
              <w:rPr>
                <w:u w:val="single"/>
              </w:rPr>
              <w:t>Expenditure Budget</w:t>
            </w:r>
          </w:p>
        </w:tc>
        <w:tc>
          <w:tcPr>
            <w:tcW w:w="2754" w:type="dxa"/>
          </w:tcPr>
          <w:p w14:paraId="1102EC88" w14:textId="77777777" w:rsidR="00CD2E15" w:rsidRPr="00864971" w:rsidRDefault="009A0653" w:rsidP="00864971">
            <w:pPr>
              <w:jc w:val="center"/>
              <w:rPr>
                <w:u w:val="single"/>
              </w:rPr>
            </w:pPr>
            <w:r>
              <w:rPr>
                <w:u w:val="single"/>
              </w:rPr>
              <w:t>Actual</w:t>
            </w:r>
          </w:p>
          <w:p w14:paraId="3838D514" w14:textId="12C8B68F" w:rsidR="00CD2E15" w:rsidRPr="00864971" w:rsidRDefault="00B358A1" w:rsidP="00864971">
            <w:pPr>
              <w:jc w:val="center"/>
              <w:rPr>
                <w:u w:val="single"/>
              </w:rPr>
            </w:pPr>
            <w:r>
              <w:rPr>
                <w:u w:val="single"/>
              </w:rPr>
              <w:t>20</w:t>
            </w:r>
            <w:r w:rsidR="003C3CD0">
              <w:rPr>
                <w:u w:val="single"/>
              </w:rPr>
              <w:t>21</w:t>
            </w:r>
          </w:p>
        </w:tc>
        <w:tc>
          <w:tcPr>
            <w:tcW w:w="2754" w:type="dxa"/>
          </w:tcPr>
          <w:p w14:paraId="77533887" w14:textId="77777777" w:rsidR="00CD2E15" w:rsidRPr="00864971" w:rsidRDefault="009A0653" w:rsidP="00864971">
            <w:pPr>
              <w:jc w:val="center"/>
              <w:rPr>
                <w:u w:val="single"/>
              </w:rPr>
            </w:pPr>
            <w:r>
              <w:rPr>
                <w:u w:val="single"/>
              </w:rPr>
              <w:t>Actual</w:t>
            </w:r>
          </w:p>
          <w:p w14:paraId="4EAC9232" w14:textId="6CA0C175" w:rsidR="00CD2E15" w:rsidRPr="00864971" w:rsidRDefault="00B358A1" w:rsidP="00864971">
            <w:pPr>
              <w:jc w:val="center"/>
              <w:rPr>
                <w:u w:val="single"/>
              </w:rPr>
            </w:pPr>
            <w:r>
              <w:rPr>
                <w:u w:val="single"/>
              </w:rPr>
              <w:t>20</w:t>
            </w:r>
            <w:r w:rsidR="003C3CD0">
              <w:rPr>
                <w:u w:val="single"/>
              </w:rPr>
              <w:t>22</w:t>
            </w:r>
          </w:p>
        </w:tc>
        <w:tc>
          <w:tcPr>
            <w:tcW w:w="2754" w:type="dxa"/>
          </w:tcPr>
          <w:p w14:paraId="4D716B72" w14:textId="77777777" w:rsidR="00CD2E15" w:rsidRPr="00864971" w:rsidRDefault="00CD2E15" w:rsidP="00864971">
            <w:pPr>
              <w:jc w:val="center"/>
              <w:rPr>
                <w:u w:val="single"/>
              </w:rPr>
            </w:pPr>
            <w:r w:rsidRPr="00864971">
              <w:rPr>
                <w:u w:val="single"/>
              </w:rPr>
              <w:t>% Increase</w:t>
            </w:r>
          </w:p>
          <w:p w14:paraId="1333C1BE" w14:textId="77777777" w:rsidR="00CD2E15" w:rsidRPr="00864971" w:rsidRDefault="00CD2E15" w:rsidP="00864971">
            <w:pPr>
              <w:jc w:val="center"/>
              <w:rPr>
                <w:u w:val="single"/>
              </w:rPr>
            </w:pPr>
            <w:r w:rsidRPr="00864971">
              <w:rPr>
                <w:u w:val="single"/>
              </w:rPr>
              <w:t>(Decrease)</w:t>
            </w:r>
          </w:p>
        </w:tc>
      </w:tr>
      <w:tr w:rsidR="00CD2E15" w14:paraId="4CB2A2CC" w14:textId="77777777" w:rsidTr="00864971">
        <w:tc>
          <w:tcPr>
            <w:tcW w:w="2754" w:type="dxa"/>
          </w:tcPr>
          <w:p w14:paraId="6057672B" w14:textId="77777777" w:rsidR="00CD2E15" w:rsidRDefault="00CD2E15">
            <w:r>
              <w:t>General Government</w:t>
            </w:r>
          </w:p>
        </w:tc>
        <w:tc>
          <w:tcPr>
            <w:tcW w:w="2754" w:type="dxa"/>
          </w:tcPr>
          <w:p w14:paraId="141DB903" w14:textId="77777777" w:rsidR="00CD2E15" w:rsidRDefault="00CD2E15" w:rsidP="00864971">
            <w:pPr>
              <w:jc w:val="right"/>
            </w:pPr>
            <w:r>
              <w:t xml:space="preserve">$ </w:t>
            </w:r>
            <w:r w:rsidR="00864971">
              <w:t xml:space="preserve">     </w:t>
            </w:r>
            <w:r>
              <w:t>113,196,643</w:t>
            </w:r>
          </w:p>
        </w:tc>
        <w:tc>
          <w:tcPr>
            <w:tcW w:w="2754" w:type="dxa"/>
          </w:tcPr>
          <w:p w14:paraId="534F5A24" w14:textId="77777777" w:rsidR="00CD2E15" w:rsidRDefault="00CD2E15" w:rsidP="00864971">
            <w:pPr>
              <w:jc w:val="right"/>
            </w:pPr>
            <w:r>
              <w:t>$</w:t>
            </w:r>
            <w:r w:rsidR="00864971">
              <w:t xml:space="preserve">     </w:t>
            </w:r>
            <w:r>
              <w:t>122,919,380</w:t>
            </w:r>
          </w:p>
        </w:tc>
        <w:tc>
          <w:tcPr>
            <w:tcW w:w="2754" w:type="dxa"/>
          </w:tcPr>
          <w:p w14:paraId="2641FDCF" w14:textId="77777777" w:rsidR="00CD2E15" w:rsidRDefault="00CD2E15" w:rsidP="00864971">
            <w:pPr>
              <w:jc w:val="right"/>
            </w:pPr>
            <w:r>
              <w:t>8.6%</w:t>
            </w:r>
          </w:p>
        </w:tc>
      </w:tr>
      <w:tr w:rsidR="00CD2E15" w14:paraId="1C0A99EA" w14:textId="77777777" w:rsidTr="00864971">
        <w:tc>
          <w:tcPr>
            <w:tcW w:w="2754" w:type="dxa"/>
          </w:tcPr>
          <w:p w14:paraId="7C1C5994" w14:textId="77777777" w:rsidR="00CD2E15" w:rsidRDefault="00CD2E15">
            <w:r>
              <w:t>Special Revenue Funds</w:t>
            </w:r>
          </w:p>
        </w:tc>
        <w:tc>
          <w:tcPr>
            <w:tcW w:w="2754" w:type="dxa"/>
          </w:tcPr>
          <w:p w14:paraId="66A56B10" w14:textId="77777777" w:rsidR="00CD2E15" w:rsidRDefault="00CD2E15" w:rsidP="00864971">
            <w:pPr>
              <w:jc w:val="right"/>
            </w:pPr>
            <w:r>
              <w:t>24,719,293</w:t>
            </w:r>
          </w:p>
        </w:tc>
        <w:tc>
          <w:tcPr>
            <w:tcW w:w="2754" w:type="dxa"/>
          </w:tcPr>
          <w:p w14:paraId="73093F05" w14:textId="77777777" w:rsidR="00CD2E15" w:rsidRDefault="00CD2E15" w:rsidP="00864971">
            <w:pPr>
              <w:jc w:val="right"/>
            </w:pPr>
            <w:r>
              <w:t>26,373,275</w:t>
            </w:r>
          </w:p>
        </w:tc>
        <w:tc>
          <w:tcPr>
            <w:tcW w:w="2754" w:type="dxa"/>
          </w:tcPr>
          <w:p w14:paraId="44C38679" w14:textId="77777777" w:rsidR="00CD2E15" w:rsidRDefault="00CD2E15" w:rsidP="00864971">
            <w:pPr>
              <w:jc w:val="right"/>
            </w:pPr>
            <w:r>
              <w:t>6.7%</w:t>
            </w:r>
          </w:p>
        </w:tc>
      </w:tr>
      <w:tr w:rsidR="00CD2E15" w14:paraId="67E58EC5" w14:textId="77777777" w:rsidTr="00864971">
        <w:tc>
          <w:tcPr>
            <w:tcW w:w="2754" w:type="dxa"/>
          </w:tcPr>
          <w:p w14:paraId="5DBF6432" w14:textId="77777777" w:rsidR="00CD2E15" w:rsidRDefault="00CD2E15">
            <w:r>
              <w:t>Debt Service</w:t>
            </w:r>
          </w:p>
        </w:tc>
        <w:tc>
          <w:tcPr>
            <w:tcW w:w="2754" w:type="dxa"/>
          </w:tcPr>
          <w:p w14:paraId="1273C93A" w14:textId="77777777" w:rsidR="00CD2E15" w:rsidRDefault="00CD2E15" w:rsidP="00864971">
            <w:pPr>
              <w:jc w:val="right"/>
            </w:pPr>
            <w:r>
              <w:t>1,975,708</w:t>
            </w:r>
          </w:p>
        </w:tc>
        <w:tc>
          <w:tcPr>
            <w:tcW w:w="2754" w:type="dxa"/>
          </w:tcPr>
          <w:p w14:paraId="7EFB8198" w14:textId="77777777" w:rsidR="00CD2E15" w:rsidRDefault="00CD2E15" w:rsidP="00864971">
            <w:pPr>
              <w:jc w:val="right"/>
            </w:pPr>
            <w:r>
              <w:t>2,904,515</w:t>
            </w:r>
          </w:p>
        </w:tc>
        <w:tc>
          <w:tcPr>
            <w:tcW w:w="2754" w:type="dxa"/>
          </w:tcPr>
          <w:p w14:paraId="11A7A805" w14:textId="77777777" w:rsidR="00CD2E15" w:rsidRDefault="00CD2E15" w:rsidP="00864971">
            <w:pPr>
              <w:jc w:val="right"/>
            </w:pPr>
            <w:r>
              <w:t>47%</w:t>
            </w:r>
          </w:p>
        </w:tc>
      </w:tr>
      <w:tr w:rsidR="00CD2E15" w14:paraId="61768B00" w14:textId="77777777" w:rsidTr="00864971">
        <w:tc>
          <w:tcPr>
            <w:tcW w:w="2754" w:type="dxa"/>
          </w:tcPr>
          <w:p w14:paraId="6CA31C4A" w14:textId="77777777" w:rsidR="00CD2E15" w:rsidRDefault="00CD2E15">
            <w:r>
              <w:t>Enterprise Funds</w:t>
            </w:r>
          </w:p>
        </w:tc>
        <w:tc>
          <w:tcPr>
            <w:tcW w:w="2754" w:type="dxa"/>
          </w:tcPr>
          <w:p w14:paraId="48814555" w14:textId="77777777" w:rsidR="00CD2E15" w:rsidRDefault="00CD2E15" w:rsidP="00864971">
            <w:pPr>
              <w:jc w:val="right"/>
            </w:pPr>
            <w:r>
              <w:t>170,150,913</w:t>
            </w:r>
          </w:p>
        </w:tc>
        <w:tc>
          <w:tcPr>
            <w:tcW w:w="2754" w:type="dxa"/>
          </w:tcPr>
          <w:p w14:paraId="224DB0DC" w14:textId="77777777" w:rsidR="00CD2E15" w:rsidRDefault="00CD2E15" w:rsidP="00864971">
            <w:pPr>
              <w:jc w:val="right"/>
            </w:pPr>
            <w:r>
              <w:t>168,512,137</w:t>
            </w:r>
          </w:p>
        </w:tc>
        <w:tc>
          <w:tcPr>
            <w:tcW w:w="2754" w:type="dxa"/>
          </w:tcPr>
          <w:p w14:paraId="1986BFBE" w14:textId="77777777" w:rsidR="00CD2E15" w:rsidRDefault="00CD2E15" w:rsidP="00864971">
            <w:pPr>
              <w:jc w:val="right"/>
            </w:pPr>
            <w:r>
              <w:t>-1.0%</w:t>
            </w:r>
          </w:p>
        </w:tc>
      </w:tr>
      <w:tr w:rsidR="00CD2E15" w14:paraId="3A89201E" w14:textId="77777777" w:rsidTr="00864971">
        <w:tc>
          <w:tcPr>
            <w:tcW w:w="2754" w:type="dxa"/>
          </w:tcPr>
          <w:p w14:paraId="1BBF7AEF" w14:textId="77777777" w:rsidR="00CD2E15" w:rsidRDefault="00CD2E15">
            <w:r>
              <w:t>Internal Service Funds</w:t>
            </w:r>
          </w:p>
        </w:tc>
        <w:tc>
          <w:tcPr>
            <w:tcW w:w="2754" w:type="dxa"/>
          </w:tcPr>
          <w:p w14:paraId="1BDBE6F0" w14:textId="77777777" w:rsidR="00CD2E15" w:rsidRDefault="00CD2E15" w:rsidP="00864971">
            <w:pPr>
              <w:jc w:val="right"/>
            </w:pPr>
            <w:r>
              <w:t>30,414,899</w:t>
            </w:r>
          </w:p>
        </w:tc>
        <w:tc>
          <w:tcPr>
            <w:tcW w:w="2754" w:type="dxa"/>
          </w:tcPr>
          <w:p w14:paraId="5E373CEF" w14:textId="77777777" w:rsidR="00CD2E15" w:rsidRDefault="00CD2E15" w:rsidP="00864971">
            <w:pPr>
              <w:jc w:val="right"/>
            </w:pPr>
            <w:r>
              <w:t>31,537,620</w:t>
            </w:r>
          </w:p>
        </w:tc>
        <w:tc>
          <w:tcPr>
            <w:tcW w:w="2754" w:type="dxa"/>
          </w:tcPr>
          <w:p w14:paraId="08297C10" w14:textId="77777777" w:rsidR="00CD2E15" w:rsidRDefault="00CD2E15" w:rsidP="00864971">
            <w:pPr>
              <w:jc w:val="right"/>
            </w:pPr>
            <w:r>
              <w:t>3.7%</w:t>
            </w:r>
          </w:p>
        </w:tc>
      </w:tr>
      <w:tr w:rsidR="00CD2E15" w14:paraId="6471CA1E" w14:textId="77777777" w:rsidTr="00864971">
        <w:tc>
          <w:tcPr>
            <w:tcW w:w="2754" w:type="dxa"/>
          </w:tcPr>
          <w:p w14:paraId="39A2027B" w14:textId="77777777" w:rsidR="00CD2E15" w:rsidRDefault="00CD2E15">
            <w:r>
              <w:t>Police &amp; Fire Pension Funds</w:t>
            </w:r>
          </w:p>
        </w:tc>
        <w:tc>
          <w:tcPr>
            <w:tcW w:w="2754" w:type="dxa"/>
          </w:tcPr>
          <w:p w14:paraId="1745EB86" w14:textId="77777777" w:rsidR="00CD2E15" w:rsidRPr="00864971" w:rsidRDefault="00CD2E15" w:rsidP="00864971">
            <w:pPr>
              <w:jc w:val="right"/>
              <w:rPr>
                <w:u w:val="single"/>
              </w:rPr>
            </w:pPr>
            <w:r w:rsidRPr="00864971">
              <w:rPr>
                <w:u w:val="single"/>
              </w:rPr>
              <w:t>5,908,398</w:t>
            </w:r>
          </w:p>
        </w:tc>
        <w:tc>
          <w:tcPr>
            <w:tcW w:w="2754" w:type="dxa"/>
          </w:tcPr>
          <w:p w14:paraId="7069280D" w14:textId="77777777" w:rsidR="00CD2E15" w:rsidRPr="00864971" w:rsidRDefault="00CD2E15" w:rsidP="00864971">
            <w:pPr>
              <w:jc w:val="right"/>
              <w:rPr>
                <w:u w:val="single"/>
              </w:rPr>
            </w:pPr>
            <w:r w:rsidRPr="00864971">
              <w:rPr>
                <w:u w:val="single"/>
              </w:rPr>
              <w:t>5,303,810</w:t>
            </w:r>
          </w:p>
        </w:tc>
        <w:tc>
          <w:tcPr>
            <w:tcW w:w="2754" w:type="dxa"/>
          </w:tcPr>
          <w:p w14:paraId="0D3279A8" w14:textId="77777777" w:rsidR="00CD2E15" w:rsidRPr="00864971" w:rsidRDefault="00CD2E15" w:rsidP="00864971">
            <w:pPr>
              <w:jc w:val="right"/>
              <w:rPr>
                <w:u w:val="single"/>
              </w:rPr>
            </w:pPr>
            <w:r w:rsidRPr="00864971">
              <w:rPr>
                <w:u w:val="single"/>
              </w:rPr>
              <w:t>-10.2%</w:t>
            </w:r>
          </w:p>
        </w:tc>
      </w:tr>
      <w:tr w:rsidR="00CD2E15" w14:paraId="0574C679" w14:textId="77777777" w:rsidTr="00864971">
        <w:tc>
          <w:tcPr>
            <w:tcW w:w="2754" w:type="dxa"/>
          </w:tcPr>
          <w:p w14:paraId="7C63C18D" w14:textId="77777777" w:rsidR="00CD2E15" w:rsidRDefault="00CD2E15">
            <w:r>
              <w:t>Total Expenditure Budget</w:t>
            </w:r>
          </w:p>
        </w:tc>
        <w:tc>
          <w:tcPr>
            <w:tcW w:w="2754" w:type="dxa"/>
          </w:tcPr>
          <w:p w14:paraId="1A054A91" w14:textId="77777777" w:rsidR="00CD2E15" w:rsidRPr="00864971" w:rsidRDefault="00CD2E15" w:rsidP="00864971">
            <w:pPr>
              <w:jc w:val="right"/>
              <w:rPr>
                <w:u w:val="double"/>
              </w:rPr>
            </w:pPr>
            <w:r w:rsidRPr="00864971">
              <w:rPr>
                <w:u w:val="double"/>
              </w:rPr>
              <w:t>$</w:t>
            </w:r>
            <w:r w:rsidR="00864971" w:rsidRPr="00864971">
              <w:rPr>
                <w:u w:val="double"/>
              </w:rPr>
              <w:t xml:space="preserve">     346,365,854</w:t>
            </w:r>
          </w:p>
        </w:tc>
        <w:tc>
          <w:tcPr>
            <w:tcW w:w="2754" w:type="dxa"/>
          </w:tcPr>
          <w:p w14:paraId="580A5864" w14:textId="77777777" w:rsidR="00CD2E15" w:rsidRPr="00864971" w:rsidRDefault="00864971" w:rsidP="00864971">
            <w:pPr>
              <w:jc w:val="right"/>
              <w:rPr>
                <w:u w:val="double"/>
              </w:rPr>
            </w:pPr>
            <w:r w:rsidRPr="00864971">
              <w:rPr>
                <w:u w:val="double"/>
              </w:rPr>
              <w:t>$     357,550,737</w:t>
            </w:r>
          </w:p>
        </w:tc>
        <w:tc>
          <w:tcPr>
            <w:tcW w:w="2754" w:type="dxa"/>
          </w:tcPr>
          <w:p w14:paraId="1FEDEB9E" w14:textId="77777777" w:rsidR="00CD2E15" w:rsidRPr="00864971" w:rsidRDefault="00864971" w:rsidP="00864971">
            <w:pPr>
              <w:jc w:val="right"/>
              <w:rPr>
                <w:u w:val="double"/>
              </w:rPr>
            </w:pPr>
            <w:r w:rsidRPr="00864971">
              <w:rPr>
                <w:u w:val="double"/>
              </w:rPr>
              <w:t>3.2%</w:t>
            </w:r>
          </w:p>
        </w:tc>
      </w:tr>
    </w:tbl>
    <w:p w14:paraId="6BEEBAAA" w14:textId="77777777" w:rsidR="00CD2E15" w:rsidRDefault="00CD2E15"/>
    <w:p w14:paraId="407BFA21" w14:textId="20B7F54C" w:rsidR="00864971" w:rsidRDefault="00864971">
      <w:r>
        <w:t xml:space="preserve">The total City revenue budget increased $16.7 million, excluding beginning fund balances, from $334.6 in </w:t>
      </w:r>
      <w:r w:rsidR="003C3CD0">
        <w:t>2021</w:t>
      </w:r>
      <w:r>
        <w:t xml:space="preserve"> to $351.3 million in </w:t>
      </w:r>
      <w:r w:rsidR="003C3CD0">
        <w:t>2022</w:t>
      </w:r>
      <w:r>
        <w:t xml:space="preserve">. The City’s ending fund balance budgets increased by $4.2 million from $156.2 million in </w:t>
      </w:r>
      <w:r w:rsidR="00B358A1">
        <w:t>20</w:t>
      </w:r>
      <w:r w:rsidR="003C3CD0">
        <w:t>21</w:t>
      </w:r>
      <w:r>
        <w:t xml:space="preserve"> to $160.4 million in </w:t>
      </w:r>
      <w:r w:rsidR="00B358A1">
        <w:t>20</w:t>
      </w:r>
      <w:r w:rsidR="003C3CD0">
        <w:t>23</w:t>
      </w:r>
      <w:r>
        <w:t>. Additional information on the revenue, expenditure, and fund balance changes for various funds can be found in the Financial Summary section of the budget.</w:t>
      </w:r>
    </w:p>
    <w:p w14:paraId="6F378CE4" w14:textId="77777777" w:rsidR="00864971" w:rsidRPr="00864971" w:rsidRDefault="00864971">
      <w:pPr>
        <w:rPr>
          <w:rFonts w:ascii="Arial Black" w:hAnsi="Arial Black"/>
        </w:rPr>
      </w:pPr>
      <w:r w:rsidRPr="00864971">
        <w:rPr>
          <w:rFonts w:ascii="Arial Black" w:hAnsi="Arial Black"/>
        </w:rPr>
        <w:t xml:space="preserve">General Government </w:t>
      </w:r>
    </w:p>
    <w:p w14:paraId="4124FCEA" w14:textId="77777777" w:rsidR="00864971" w:rsidRDefault="00864971">
      <w:r>
        <w:t xml:space="preserve">The City’s Five-Year Outlook financial model functions as a key tool in the general government budget development process. As the budget develops, all changes are processed through the model to forecast the five-year impacts. </w:t>
      </w:r>
      <w:r w:rsidRPr="00864971">
        <w:rPr>
          <w:b/>
          <w:u w:val="single"/>
        </w:rPr>
        <w:t>The City maintains a fund balance policy that limits operating expenses to operating revenues and targets the General Government Fund balance at 20% of operating revenues.</w:t>
      </w:r>
      <w:r>
        <w:t xml:space="preserve"> </w:t>
      </w:r>
    </w:p>
    <w:p w14:paraId="4307810A" w14:textId="0246C524" w:rsidR="00864971" w:rsidRPr="0033524F" w:rsidRDefault="00864971">
      <w:pPr>
        <w:rPr>
          <w:b/>
        </w:rPr>
      </w:pPr>
      <w:r w:rsidRPr="0033524F">
        <w:rPr>
          <w:b/>
        </w:rPr>
        <w:t xml:space="preserve">At the beginning of the budget process, the model projects a $12.7 million operating deficit for </w:t>
      </w:r>
      <w:r w:rsidR="003C3CD0">
        <w:rPr>
          <w:b/>
        </w:rPr>
        <w:t>2023</w:t>
      </w:r>
      <w:r w:rsidRPr="0033524F">
        <w:rPr>
          <w:b/>
        </w:rPr>
        <w:t xml:space="preserve">. </w:t>
      </w:r>
    </w:p>
    <w:p w14:paraId="11EE22EB" w14:textId="77777777" w:rsidR="00864971" w:rsidRDefault="00864971">
      <w:r>
        <w:t>The primary guidelines for the annual budget development are:</w:t>
      </w:r>
    </w:p>
    <w:p w14:paraId="77BE5361" w14:textId="77777777" w:rsidR="00864971" w:rsidRDefault="00864971" w:rsidP="00864971">
      <w:pPr>
        <w:pStyle w:val="ListParagraph"/>
        <w:numPr>
          <w:ilvl w:val="0"/>
          <w:numId w:val="2"/>
        </w:numPr>
      </w:pPr>
      <w:r>
        <w:t xml:space="preserve">Adhere to sound fiscal management practices </w:t>
      </w:r>
    </w:p>
    <w:p w14:paraId="5B91B16A" w14:textId="77777777" w:rsidR="00864971" w:rsidRDefault="00864971" w:rsidP="00864971">
      <w:pPr>
        <w:pStyle w:val="ListParagraph"/>
        <w:numPr>
          <w:ilvl w:val="0"/>
          <w:numId w:val="2"/>
        </w:numPr>
      </w:pPr>
      <w:r>
        <w:t xml:space="preserve">No new programs without new offsetting revenue or an equal reduction elsewhere in the budget </w:t>
      </w:r>
    </w:p>
    <w:p w14:paraId="7F500F0A" w14:textId="77777777" w:rsidR="00864971" w:rsidRDefault="00864971" w:rsidP="00864971">
      <w:pPr>
        <w:pStyle w:val="ListParagraph"/>
        <w:numPr>
          <w:ilvl w:val="0"/>
          <w:numId w:val="2"/>
        </w:numPr>
      </w:pPr>
      <w:r>
        <w:t>Maintain, to the extent possible, the current level of public services</w:t>
      </w:r>
    </w:p>
    <w:p w14:paraId="3D5DE32D" w14:textId="77777777" w:rsidR="00864971" w:rsidRDefault="00864971" w:rsidP="00864971">
      <w:pPr>
        <w:pStyle w:val="ListParagraph"/>
        <w:ind w:left="405"/>
      </w:pPr>
    </w:p>
    <w:p w14:paraId="4A3F011F" w14:textId="77777777" w:rsidR="003C3CD0" w:rsidRDefault="003C3CD0" w:rsidP="00864971">
      <w:pPr>
        <w:pStyle w:val="ListParagraph"/>
        <w:ind w:left="405"/>
      </w:pPr>
    </w:p>
    <w:p w14:paraId="4E3D8351" w14:textId="77777777" w:rsidR="003C3CD0" w:rsidRDefault="003C3CD0" w:rsidP="00864971">
      <w:pPr>
        <w:pStyle w:val="ListParagraph"/>
        <w:ind w:left="405"/>
      </w:pPr>
    </w:p>
    <w:p w14:paraId="3BAADE2C" w14:textId="77777777" w:rsidR="003C3CD0" w:rsidRDefault="003C3CD0" w:rsidP="00864971">
      <w:pPr>
        <w:pStyle w:val="ListParagraph"/>
        <w:ind w:left="405"/>
      </w:pPr>
    </w:p>
    <w:p w14:paraId="55E10898" w14:textId="6DF84571" w:rsidR="0033524F" w:rsidRDefault="0033524F" w:rsidP="0033524F">
      <w:r>
        <w:lastRenderedPageBreak/>
        <w:t xml:space="preserve">Chief constraints facing the </w:t>
      </w:r>
      <w:proofErr w:type="gramStart"/>
      <w:r>
        <w:t>City</w:t>
      </w:r>
      <w:proofErr w:type="gramEnd"/>
      <w:r>
        <w:t xml:space="preserve"> for budget year </w:t>
      </w:r>
      <w:r w:rsidR="00B358A1">
        <w:t>20</w:t>
      </w:r>
      <w:r w:rsidR="003C3CD0">
        <w:t>23</w:t>
      </w:r>
      <w:r>
        <w:t xml:space="preserve"> include: </w:t>
      </w:r>
    </w:p>
    <w:p w14:paraId="3513817E" w14:textId="77777777" w:rsidR="0033524F" w:rsidRDefault="0033524F" w:rsidP="0033524F">
      <w:pPr>
        <w:pStyle w:val="ListParagraph"/>
        <w:numPr>
          <w:ilvl w:val="0"/>
          <w:numId w:val="2"/>
        </w:numPr>
      </w:pPr>
      <w:r>
        <w:t>Property tax growth limited to 1% of the base, plus adjustments for new construction and annexations</w:t>
      </w:r>
    </w:p>
    <w:p w14:paraId="485B832F" w14:textId="77777777" w:rsidR="0033524F" w:rsidRDefault="0033524F" w:rsidP="0033524F">
      <w:pPr>
        <w:pStyle w:val="ListParagraph"/>
        <w:numPr>
          <w:ilvl w:val="0"/>
          <w:numId w:val="2"/>
        </w:numPr>
      </w:pPr>
      <w:r>
        <w:t xml:space="preserve">Higher employee health care and PERS/LEOFF retirement funding costs </w:t>
      </w:r>
    </w:p>
    <w:p w14:paraId="79C475B1" w14:textId="77777777" w:rsidR="0033524F" w:rsidRDefault="0033524F" w:rsidP="0033524F">
      <w:pPr>
        <w:pStyle w:val="ListParagraph"/>
        <w:numPr>
          <w:ilvl w:val="0"/>
          <w:numId w:val="2"/>
        </w:numPr>
      </w:pPr>
      <w:r>
        <w:t xml:space="preserve">Additional costs related to the Affordable Care Act, specifically as they relate to part-time employees </w:t>
      </w:r>
    </w:p>
    <w:p w14:paraId="00E3FC6B" w14:textId="77777777" w:rsidR="0033524F" w:rsidRDefault="0033524F" w:rsidP="0033524F">
      <w:pPr>
        <w:pStyle w:val="ListParagraph"/>
        <w:numPr>
          <w:ilvl w:val="0"/>
          <w:numId w:val="2"/>
        </w:numPr>
      </w:pPr>
      <w:r>
        <w:t xml:space="preserve">A 25% increase in the County jail fee </w:t>
      </w:r>
    </w:p>
    <w:p w14:paraId="455744C0" w14:textId="77777777" w:rsidR="0033524F" w:rsidRDefault="0033524F" w:rsidP="0033524F">
      <w:pPr>
        <w:pStyle w:val="ListParagraph"/>
        <w:numPr>
          <w:ilvl w:val="0"/>
          <w:numId w:val="2"/>
        </w:numPr>
      </w:pPr>
      <w:r>
        <w:t xml:space="preserve">New state regulations related to indigent defense standards </w:t>
      </w:r>
    </w:p>
    <w:p w14:paraId="3FF55637" w14:textId="77777777" w:rsidR="00864971" w:rsidRDefault="0033524F" w:rsidP="0033524F">
      <w:pPr>
        <w:pStyle w:val="ListParagraph"/>
        <w:numPr>
          <w:ilvl w:val="0"/>
          <w:numId w:val="2"/>
        </w:numPr>
      </w:pPr>
      <w:r>
        <w:t>An increase in support for the Public Facility District’s (PFD) debt</w:t>
      </w:r>
    </w:p>
    <w:p w14:paraId="41F94077" w14:textId="59ACEA51" w:rsidR="0033524F" w:rsidRDefault="0033524F" w:rsidP="0033524F">
      <w:r>
        <w:t xml:space="preserve">Major predicted changes to </w:t>
      </w:r>
      <w:r w:rsidR="00B358A1">
        <w:t>20</w:t>
      </w:r>
      <w:r w:rsidR="003C3CD0">
        <w:t>23</w:t>
      </w:r>
      <w:r>
        <w:t xml:space="preserve"> revenue and expenses are listed below.</w:t>
      </w:r>
    </w:p>
    <w:p w14:paraId="122AEFD2" w14:textId="77777777" w:rsidR="0033524F" w:rsidRDefault="009A0653" w:rsidP="0033524F">
      <w:pPr>
        <w:jc w:val="center"/>
      </w:pPr>
      <w:r>
        <w:rPr>
          <w:noProof/>
        </w:rPr>
        <w:drawing>
          <wp:inline distT="0" distB="0" distL="0" distR="0" wp14:anchorId="6D5BB925" wp14:editId="72DABCBF">
            <wp:extent cx="5017616" cy="62553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7">
                      <a:extLst>
                        <a:ext uri="{28A0092B-C50C-407E-A947-70E740481C1C}">
                          <a14:useLocalDpi xmlns:a14="http://schemas.microsoft.com/office/drawing/2010/main" val="0"/>
                        </a:ext>
                      </a:extLst>
                    </a:blip>
                    <a:stretch>
                      <a:fillRect/>
                    </a:stretch>
                  </pic:blipFill>
                  <pic:spPr>
                    <a:xfrm>
                      <a:off x="0" y="0"/>
                      <a:ext cx="5017616" cy="6255358"/>
                    </a:xfrm>
                    <a:prstGeom prst="rect">
                      <a:avLst/>
                    </a:prstGeom>
                  </pic:spPr>
                </pic:pic>
              </a:graphicData>
            </a:graphic>
          </wp:inline>
        </w:drawing>
      </w:r>
    </w:p>
    <w:p w14:paraId="143F15EC" w14:textId="6795F094" w:rsidR="0033524F" w:rsidRDefault="0033524F" w:rsidP="0033524F">
      <w:r>
        <w:t xml:space="preserve">The </w:t>
      </w:r>
      <w:r w:rsidR="00B358A1">
        <w:t>20</w:t>
      </w:r>
      <w:r w:rsidR="003C3CD0">
        <w:t>22</w:t>
      </w:r>
      <w:r>
        <w:t xml:space="preserve"> general government revenue budget, excluding beginning fund balance, was $122.9 million - a 6.1% increase over the </w:t>
      </w:r>
      <w:r w:rsidR="00B358A1">
        <w:t>20</w:t>
      </w:r>
      <w:r w:rsidR="003C3CD0">
        <w:t>2</w:t>
      </w:r>
      <w:r w:rsidR="00B358A1">
        <w:t>1</w:t>
      </w:r>
      <w:r>
        <w:t xml:space="preserve"> year-end forecast. The City underwent an extensive budget review this past spring. </w:t>
      </w:r>
      <w:r>
        <w:lastRenderedPageBreak/>
        <w:t>Several of the recommendations from this review included increasing revenues to bring us in line with rates elsewhere in the region and to adjust fees and rates to better reflect the cost of providing services. The larger of these adjustments included; increasing the natural gas, telephone and electric utility tax rates from 4.5% to the maximum allowed rate of 6%; establishing a 2% utility tax rate on cable and garbage; implementing an annual business license renewal program, and implementing a $20.00 vehicle registration fee.</w:t>
      </w:r>
    </w:p>
    <w:p w14:paraId="5338AEEA" w14:textId="77777777" w:rsidR="009A0653" w:rsidRDefault="009A0653" w:rsidP="009A0653">
      <w:pPr>
        <w:jc w:val="center"/>
      </w:pPr>
      <w:r>
        <w:rPr>
          <w:noProof/>
        </w:rPr>
        <w:drawing>
          <wp:inline distT="0" distB="0" distL="0" distR="0" wp14:anchorId="4C87D26A" wp14:editId="119FFD0F">
            <wp:extent cx="3226221"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3226221" cy="2743200"/>
                    </a:xfrm>
                    <a:prstGeom prst="rect">
                      <a:avLst/>
                    </a:prstGeom>
                  </pic:spPr>
                </pic:pic>
              </a:graphicData>
            </a:graphic>
          </wp:inline>
        </w:drawing>
      </w:r>
    </w:p>
    <w:p w14:paraId="409B18FB" w14:textId="5DFF4921" w:rsidR="009A0653" w:rsidRDefault="003C3CD0" w:rsidP="0033524F">
      <w:r>
        <w:t>Spruce</w:t>
      </w:r>
      <w:r w:rsidR="009A0653">
        <w:t xml:space="preserve"> strives to maintain a diverse and stable revenue base to shelter public services from short-term fluctuations in any one revenue source. The current economic development activities are helping to move the City toward a more balanced revenue base, as shown in the graph below.</w:t>
      </w:r>
    </w:p>
    <w:p w14:paraId="191A2416" w14:textId="77777777" w:rsidR="009A0653" w:rsidRDefault="009A0653" w:rsidP="009A0653">
      <w:pPr>
        <w:jc w:val="center"/>
      </w:pPr>
      <w:r>
        <w:rPr>
          <w:noProof/>
        </w:rPr>
        <w:drawing>
          <wp:inline distT="0" distB="0" distL="0" distR="0" wp14:anchorId="41BBE60A" wp14:editId="6074F34F">
            <wp:extent cx="5943600" cy="3061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061335"/>
                    </a:xfrm>
                    <a:prstGeom prst="rect">
                      <a:avLst/>
                    </a:prstGeom>
                  </pic:spPr>
                </pic:pic>
              </a:graphicData>
            </a:graphic>
          </wp:inline>
        </w:drawing>
      </w:r>
    </w:p>
    <w:p w14:paraId="1AE71DBC" w14:textId="77777777" w:rsidR="009A0653" w:rsidRPr="006D6F6C" w:rsidRDefault="009A0653" w:rsidP="009A0653">
      <w:pPr>
        <w:rPr>
          <w:b/>
          <w:u w:val="single"/>
        </w:rPr>
      </w:pPr>
      <w:r w:rsidRPr="006D6F6C">
        <w:rPr>
          <w:b/>
          <w:u w:val="single"/>
        </w:rPr>
        <w:t xml:space="preserve">Special Revenue Funds </w:t>
      </w:r>
    </w:p>
    <w:p w14:paraId="2F6C828D" w14:textId="77777777" w:rsidR="009A0653" w:rsidRDefault="009A0653" w:rsidP="009A0653">
      <w:r>
        <w:t xml:space="preserve">The City has seventeen Special Revenue Funds which account for the proceeds of revenue sources that are restricted for specific expenditure purposes. These funds are related to General Government operations. Budget details can be found in the Special Revenue section of this document. Items of note include: </w:t>
      </w:r>
    </w:p>
    <w:p w14:paraId="70D9191C" w14:textId="77777777" w:rsidR="009A0653" w:rsidRDefault="009A0653" w:rsidP="009A0653">
      <w:pPr>
        <w:pStyle w:val="ListParagraph"/>
        <w:numPr>
          <w:ilvl w:val="0"/>
          <w:numId w:val="2"/>
        </w:numPr>
      </w:pPr>
      <w:r>
        <w:lastRenderedPageBreak/>
        <w:t xml:space="preserve">The Hotel/Motel tax fund made $150,000 in grants available to support and promote tourism within the City for the third year in a row. </w:t>
      </w:r>
    </w:p>
    <w:p w14:paraId="53A548B9" w14:textId="09D7D0AF" w:rsidR="009A0653" w:rsidRDefault="009A0653" w:rsidP="009A0653">
      <w:pPr>
        <w:pStyle w:val="ListParagraph"/>
        <w:numPr>
          <w:ilvl w:val="0"/>
          <w:numId w:val="2"/>
        </w:numPr>
      </w:pPr>
      <w:r>
        <w:t xml:space="preserve">The EMS Division will purchase two new medic units in </w:t>
      </w:r>
      <w:r w:rsidR="00B358A1">
        <w:t>20</w:t>
      </w:r>
      <w:r w:rsidR="003C3CD0">
        <w:t>23.</w:t>
      </w:r>
      <w:r>
        <w:t xml:space="preserve"> </w:t>
      </w:r>
    </w:p>
    <w:p w14:paraId="06E3BD4C" w14:textId="77777777" w:rsidR="009A0653" w:rsidRDefault="009A0653" w:rsidP="009A0653">
      <w:pPr>
        <w:pStyle w:val="ListParagraph"/>
        <w:numPr>
          <w:ilvl w:val="0"/>
          <w:numId w:val="2"/>
        </w:numPr>
      </w:pPr>
      <w:r>
        <w:t xml:space="preserve">The Traffic Mitigation Fund has $1.8 million in transfers out budgeted to support transportation projects, including the Broadway Bridge Replacement project. </w:t>
      </w:r>
    </w:p>
    <w:p w14:paraId="69E1C926" w14:textId="65F088CC" w:rsidR="009A0653" w:rsidRDefault="009A0653" w:rsidP="009A0653">
      <w:pPr>
        <w:pStyle w:val="ListParagraph"/>
        <w:numPr>
          <w:ilvl w:val="0"/>
          <w:numId w:val="2"/>
        </w:numPr>
      </w:pPr>
      <w:r>
        <w:t xml:space="preserve">The Capital Improvement Program 2 budget was increased by $800,000 to provide debt service funds for the new </w:t>
      </w:r>
      <w:r w:rsidR="00B358A1">
        <w:t>20</w:t>
      </w:r>
      <w:r w:rsidR="003C3CD0">
        <w:t>22</w:t>
      </w:r>
      <w:r>
        <w:t xml:space="preserve"> Floating Rate Limited Tax General Obligation Refunding Bonds.</w:t>
      </w:r>
    </w:p>
    <w:p w14:paraId="15EEAE05" w14:textId="77777777" w:rsidR="009A0653" w:rsidRPr="006D6F6C" w:rsidRDefault="009A0653" w:rsidP="009A0653">
      <w:pPr>
        <w:rPr>
          <w:b/>
          <w:u w:val="single"/>
        </w:rPr>
      </w:pPr>
      <w:r w:rsidRPr="006D6F6C">
        <w:rPr>
          <w:b/>
          <w:u w:val="single"/>
        </w:rPr>
        <w:t xml:space="preserve">Enterprise Funds </w:t>
      </w:r>
    </w:p>
    <w:p w14:paraId="0096A8EC" w14:textId="77777777" w:rsidR="009A0653" w:rsidRDefault="009A0653" w:rsidP="009A0653">
      <w:r>
        <w:t>The City has seven enterprise funds that are mainly self-supporting and expected to operate like private businesses. Items of note include:</w:t>
      </w:r>
    </w:p>
    <w:p w14:paraId="2EDB1491" w14:textId="26BC01F1" w:rsidR="009A0653" w:rsidRDefault="009A0653" w:rsidP="009A0653">
      <w:r w:rsidRPr="009A0653">
        <w:rPr>
          <w:b/>
        </w:rPr>
        <w:t xml:space="preserve">Utilities (Water, </w:t>
      </w:r>
      <w:proofErr w:type="gramStart"/>
      <w:r w:rsidRPr="009A0653">
        <w:rPr>
          <w:b/>
        </w:rPr>
        <w:t>Sewer</w:t>
      </w:r>
      <w:proofErr w:type="gramEnd"/>
      <w:r w:rsidRPr="009A0653">
        <w:rPr>
          <w:b/>
        </w:rPr>
        <w:t xml:space="preserve"> and Surface Water Management):</w:t>
      </w:r>
      <w:r>
        <w:t xml:space="preserve"> Overall, service revenues are projected to increase by approximately 6.2% for </w:t>
      </w:r>
      <w:r w:rsidR="00B358A1">
        <w:t>20</w:t>
      </w:r>
      <w:r w:rsidR="003C3CD0">
        <w:t>23</w:t>
      </w:r>
      <w:r>
        <w:t xml:space="preserve">. The increase is necessary to address the City’s capital replacement and improvement programs and to finance inflation-based cost increases in operations and maintenance. The estimated impact to the average residential customer is approximately $5.66 per month for water, filtration, sewer, and surface water combined. However, even with this increase the utility’s rates still compare favorably to utility charges in the region. In addition, Utilities is projecting a </w:t>
      </w:r>
      <w:r w:rsidR="003C3CD0">
        <w:t>2023</w:t>
      </w:r>
      <w:r>
        <w:t xml:space="preserve"> bond issue of $60.0 million, to ensure sufficient funds for capital replacement and improvement projects. </w:t>
      </w:r>
    </w:p>
    <w:p w14:paraId="25B0C64F" w14:textId="70B9B7B9" w:rsidR="009A0653" w:rsidRDefault="009A0653" w:rsidP="009A0653">
      <w:r>
        <w:t xml:space="preserve">Utilities </w:t>
      </w:r>
      <w:proofErr w:type="gramStart"/>
      <w:r>
        <w:t>is</w:t>
      </w:r>
      <w:proofErr w:type="gramEnd"/>
      <w:r>
        <w:t xml:space="preserve"> estimating an expense decrease of $2 million for </w:t>
      </w:r>
      <w:r w:rsidR="00B358A1">
        <w:t>20</w:t>
      </w:r>
      <w:r w:rsidR="003C3CD0">
        <w:t>23</w:t>
      </w:r>
      <w:r>
        <w:t xml:space="preserve">. This decrease is due to a reduction in intergovernmental charges of $9 million. This decrease is partially offset by increases to labor of $0.9 million, a $1.3 million increase in Repairs and Maintenance to continue the Backwater Valve Rebate program, a $0.5 million increase in utilities charges, a $1.0 million increase in capital replacements to replace aging equipment, a $0.6 million increase in interfund charges, and $1.3 million in increased debt payments. The </w:t>
      </w:r>
      <w:r w:rsidR="00B358A1">
        <w:t>20</w:t>
      </w:r>
      <w:r w:rsidR="003C3CD0">
        <w:t>23</w:t>
      </w:r>
      <w:r>
        <w:t xml:space="preserve"> budget includes the addition of two and one-half additional </w:t>
      </w:r>
      <w:proofErr w:type="gramStart"/>
      <w:r>
        <w:t>full time</w:t>
      </w:r>
      <w:proofErr w:type="gramEnd"/>
      <w:r>
        <w:t xml:space="preserve"> employees: one-half of a Safety Official, four</w:t>
      </w:r>
      <w:r w:rsidR="00F6672F">
        <w:t>-</w:t>
      </w:r>
      <w:r>
        <w:t xml:space="preserve">tenths of an Accounting Technician, six-tenths of a Project Coordinator, and an Associate Engineer. The Utility Department strives to maintain a balance between preserving essential services for its customers while minimizing the cost of service. </w:t>
      </w:r>
    </w:p>
    <w:p w14:paraId="09B49C8E" w14:textId="4F2899A4" w:rsidR="006D6F6C" w:rsidRDefault="009A0653" w:rsidP="009A0653">
      <w:r w:rsidRPr="009A0653">
        <w:rPr>
          <w:b/>
        </w:rPr>
        <w:t>Transit Fund:</w:t>
      </w:r>
      <w:r>
        <w:t xml:space="preserve"> </w:t>
      </w:r>
      <w:r w:rsidR="003C3CD0">
        <w:t>City</w:t>
      </w:r>
      <w:r>
        <w:t xml:space="preserve"> Transit continues to operate with a very narrow revenue-to-expense budget margin. Arbitration with the transit union concluding in August </w:t>
      </w:r>
      <w:r w:rsidR="00B358A1">
        <w:t>20</w:t>
      </w:r>
      <w:r w:rsidR="003C3CD0">
        <w:t>22</w:t>
      </w:r>
      <w:r>
        <w:t xml:space="preserve"> resulted in the use of $712,800 from operating reserve but with revenues exceeding budget by 4% and expenses under budget 3%, </w:t>
      </w:r>
      <w:r w:rsidR="003C3CD0">
        <w:t>Spruce</w:t>
      </w:r>
      <w:r>
        <w:t xml:space="preserve"> Transit was able to increase its capital reserve fund by $45,000. Continued adjustments to service and other areas of expense resulted in total operating revenues exceeding total operating expenses by almost 1%. </w:t>
      </w:r>
      <w:r w:rsidR="003C3CD0">
        <w:t>Spruce</w:t>
      </w:r>
      <w:r>
        <w:t xml:space="preserve"> Transit continues to monitor its fleet of fixed route and paratransit vehicles. With very little new grant dollars on the horizon, </w:t>
      </w:r>
      <w:r w:rsidR="003C3CD0">
        <w:t>Spruce</w:t>
      </w:r>
      <w:r>
        <w:t xml:space="preserve"> Transit will need to take measures to ensure that its aging fleet remains operational. Increased maintenance and repair costs are anticipated in </w:t>
      </w:r>
      <w:r w:rsidR="003C3CD0">
        <w:t>2023</w:t>
      </w:r>
      <w:r>
        <w:t xml:space="preserve">. In </w:t>
      </w:r>
      <w:r w:rsidR="003C3CD0">
        <w:t>2022</w:t>
      </w:r>
      <w:r>
        <w:t xml:space="preserve">, with the assistance of federal grants, </w:t>
      </w:r>
      <w:r w:rsidR="003C3CD0">
        <w:t>Spruce</w:t>
      </w:r>
      <w:r>
        <w:t xml:space="preserve"> Transit replaced all the bus stops and signage throughout the system with a more functional and easier to maintain design. </w:t>
      </w:r>
    </w:p>
    <w:p w14:paraId="70E6B93B" w14:textId="77777777" w:rsidR="009A0653" w:rsidRDefault="009A0653" w:rsidP="009A0653">
      <w:r>
        <w:t>Transit coordinates services with sister agencies to facilitate regional travel for the residents of its service area, including support of the bus rapid transit (SWIFT) service along Evergreen Way within the City limits as well as the seamless fare service provided by One Regional Card for All (ORCA). Within the ORCA system,</w:t>
      </w:r>
      <w:r w:rsidR="006D6F6C">
        <w:t xml:space="preserve"> special pricing plans are available to employers, schools, and social service agencies through Business Accounts aimed at encouraging commute trip reduction and improving the environmental footprint of the City.</w:t>
      </w:r>
    </w:p>
    <w:p w14:paraId="5E5CF31F" w14:textId="77777777" w:rsidR="006D6F6C" w:rsidRPr="006D6F6C" w:rsidRDefault="006D6F6C" w:rsidP="009A0653">
      <w:pPr>
        <w:rPr>
          <w:b/>
          <w:u w:val="single"/>
        </w:rPr>
      </w:pPr>
      <w:r w:rsidRPr="006D6F6C">
        <w:rPr>
          <w:b/>
          <w:u w:val="single"/>
        </w:rPr>
        <w:lastRenderedPageBreak/>
        <w:t xml:space="preserve">Capital Expenditures </w:t>
      </w:r>
    </w:p>
    <w:p w14:paraId="2EE7D709" w14:textId="6BA1A039" w:rsidR="006D6F6C" w:rsidRDefault="006D6F6C" w:rsidP="009A0653">
      <w:r>
        <w:t xml:space="preserve">The total budgeted capital expenditures by major category planned for </w:t>
      </w:r>
      <w:r w:rsidR="003C3CD0">
        <w:t>2023</w:t>
      </w:r>
      <w:r>
        <w:t xml:space="preserve"> are listed below. Further detail can be found in the Capital Improvement Program section of this document.</w:t>
      </w:r>
    </w:p>
    <w:p w14:paraId="0F3147E5" w14:textId="57C51291" w:rsidR="006D6F6C" w:rsidRPr="006D6F6C" w:rsidRDefault="006D6F6C" w:rsidP="006D6F6C">
      <w:pPr>
        <w:jc w:val="center"/>
        <w:rPr>
          <w:rFonts w:ascii="Arial Black" w:hAnsi="Arial Black"/>
        </w:rPr>
      </w:pPr>
      <w:r w:rsidRPr="006D6F6C">
        <w:rPr>
          <w:rFonts w:ascii="Arial Black" w:hAnsi="Arial Black"/>
        </w:rPr>
        <w:t xml:space="preserve">Planned </w:t>
      </w:r>
      <w:r w:rsidR="003C3CD0">
        <w:rPr>
          <w:rFonts w:ascii="Arial Black" w:hAnsi="Arial Black"/>
        </w:rPr>
        <w:t>2023</w:t>
      </w:r>
      <w:r w:rsidRPr="006D6F6C">
        <w:rPr>
          <w:rFonts w:ascii="Arial Black" w:hAnsi="Arial Black"/>
        </w:rPr>
        <w:t xml:space="preserve"> Capital Expenditures</w:t>
      </w:r>
    </w:p>
    <w:p w14:paraId="709FC493" w14:textId="77777777" w:rsidR="006D6F6C" w:rsidRDefault="006D6F6C" w:rsidP="006D6F6C">
      <w:pPr>
        <w:jc w:val="center"/>
      </w:pPr>
      <w:r>
        <w:rPr>
          <w:noProof/>
        </w:rPr>
        <w:drawing>
          <wp:inline distT="0" distB="0" distL="0" distR="0" wp14:anchorId="01A70A33" wp14:editId="003EFA9B">
            <wp:extent cx="5829300" cy="1476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9300" cy="1476375"/>
                    </a:xfrm>
                    <a:prstGeom prst="rect">
                      <a:avLst/>
                    </a:prstGeom>
                  </pic:spPr>
                </pic:pic>
              </a:graphicData>
            </a:graphic>
          </wp:inline>
        </w:drawing>
      </w:r>
    </w:p>
    <w:p w14:paraId="3C4537EF" w14:textId="77777777" w:rsidR="006D6F6C" w:rsidRPr="006D6F6C" w:rsidRDefault="006D6F6C" w:rsidP="006D6F6C">
      <w:pPr>
        <w:rPr>
          <w:rFonts w:ascii="Arial Black" w:hAnsi="Arial Black"/>
        </w:rPr>
      </w:pPr>
      <w:r w:rsidRPr="006D6F6C">
        <w:rPr>
          <w:rFonts w:ascii="Arial Black" w:hAnsi="Arial Black"/>
        </w:rPr>
        <w:t xml:space="preserve">Economic Environment </w:t>
      </w:r>
    </w:p>
    <w:p w14:paraId="467FA178" w14:textId="6E432468" w:rsidR="006D6F6C" w:rsidRDefault="006D6F6C" w:rsidP="006D6F6C">
      <w:r>
        <w:t>The national and local eco</w:t>
      </w:r>
      <w:r w:rsidR="00B358A1">
        <w:t>nomy declined severely from 2009 through 2010</w:t>
      </w:r>
      <w:r>
        <w:t xml:space="preserve">. </w:t>
      </w:r>
      <w:r w:rsidR="003C3CD0">
        <w:t>Spruce</w:t>
      </w:r>
      <w:r>
        <w:t xml:space="preserve"> is still feeling the impact on the local economy. Although it has been determined that the natio</w:t>
      </w:r>
      <w:r w:rsidR="00B358A1">
        <w:t>nal recession ended in June 2010</w:t>
      </w:r>
      <w:r>
        <w:t>, local economists believe that our region’s econ</w:t>
      </w:r>
      <w:r w:rsidR="00B358A1">
        <w:t>omy bottomed out in early 2011</w:t>
      </w:r>
      <w:r>
        <w:t xml:space="preserve">. Since then, we have seen modest improvement in some areas but further decline in others. We expect similar performance in </w:t>
      </w:r>
      <w:r w:rsidR="003C3CD0">
        <w:t>2023</w:t>
      </w:r>
      <w:r>
        <w:t xml:space="preserve">. </w:t>
      </w:r>
    </w:p>
    <w:p w14:paraId="296243AC" w14:textId="5BA45EE5" w:rsidR="006D6F6C" w:rsidRDefault="006D6F6C" w:rsidP="006D6F6C">
      <w:r>
        <w:t xml:space="preserve">The preliminary December </w:t>
      </w:r>
      <w:r w:rsidR="003C3CD0">
        <w:t>2022</w:t>
      </w:r>
      <w:r>
        <w:t xml:space="preserve"> unemployment rate for the County is 4.6%. According to the Evergreen State Employment Security Department, </w:t>
      </w:r>
      <w:r w:rsidR="003C3CD0">
        <w:t>2022</w:t>
      </w:r>
      <w:r>
        <w:t xml:space="preserve"> employment growth at the statewide level was the highest in 17 years. Employment is expected to grow slowly throughout </w:t>
      </w:r>
      <w:r w:rsidR="003C3CD0">
        <w:t>2023</w:t>
      </w:r>
      <w:r>
        <w:t>.</w:t>
      </w:r>
      <w:r w:rsidR="00B358A1" w:rsidRPr="00B358A1">
        <w:rPr>
          <w:noProof/>
        </w:rPr>
        <w:t xml:space="preserve"> </w:t>
      </w:r>
    </w:p>
    <w:p w14:paraId="39CAF779" w14:textId="77777777" w:rsidR="006D6F6C" w:rsidRDefault="006D6F6C" w:rsidP="006D6F6C">
      <w:r>
        <w:rPr>
          <w:noProof/>
        </w:rPr>
        <w:drawing>
          <wp:inline distT="0" distB="0" distL="0" distR="0" wp14:anchorId="0B20C901" wp14:editId="03CBEF4A">
            <wp:extent cx="6858000" cy="115677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1156771"/>
                    </a:xfrm>
                    <a:prstGeom prst="rect">
                      <a:avLst/>
                    </a:prstGeom>
                  </pic:spPr>
                </pic:pic>
              </a:graphicData>
            </a:graphic>
          </wp:inline>
        </w:drawing>
      </w:r>
    </w:p>
    <w:p w14:paraId="3A84BC91" w14:textId="77777777" w:rsidR="00B358A1" w:rsidRDefault="00B358A1" w:rsidP="006D6F6C"/>
    <w:p w14:paraId="1142D7D4" w14:textId="77777777" w:rsidR="00B358A1" w:rsidRDefault="00B358A1" w:rsidP="006D6F6C"/>
    <w:p w14:paraId="4C5E88A0" w14:textId="77777777" w:rsidR="00B358A1" w:rsidRDefault="00B358A1" w:rsidP="006D6F6C"/>
    <w:p w14:paraId="61AC4D32" w14:textId="51F810C0" w:rsidR="006D6F6C" w:rsidRDefault="006D6F6C" w:rsidP="006D6F6C">
      <w:r>
        <w:t xml:space="preserve">Construction permitting was up substantially in </w:t>
      </w:r>
      <w:r w:rsidR="003C3CD0">
        <w:t>2022</w:t>
      </w:r>
      <w:r>
        <w:t xml:space="preserve"> compared to </w:t>
      </w:r>
      <w:r w:rsidR="003C3CD0">
        <w:t>2021</w:t>
      </w:r>
      <w:r>
        <w:t xml:space="preserve">. As shown in the table below, the single family and commercial sectors did especially well, reflecting the issuance of permits for Woodchuck Industries new manufacturing facility, Maple Leaf Hospital’s surgical department expansion, and a new Courtyard by Marriot hotel, among others. Moderate growth is expected in </w:t>
      </w:r>
      <w:r w:rsidR="003C3CD0">
        <w:t>2023</w:t>
      </w:r>
      <w:r>
        <w:t xml:space="preserve">. While home sales fell slightly in </w:t>
      </w:r>
      <w:r w:rsidR="003C3CD0">
        <w:t>2022</w:t>
      </w:r>
      <w:r>
        <w:t xml:space="preserve">, local indicators suggest that growth in </w:t>
      </w:r>
      <w:r w:rsidR="003C3CD0">
        <w:t>2023</w:t>
      </w:r>
      <w:r>
        <w:t xml:space="preserve"> will improve. Strong job growth, declining mortgage rates, and home values rising at a slower pace are all good supporting factors for the housing market.</w:t>
      </w:r>
    </w:p>
    <w:p w14:paraId="2A1A66A9" w14:textId="77777777" w:rsidR="00983EB3" w:rsidRDefault="00983EB3" w:rsidP="006D6F6C">
      <w:r>
        <w:rPr>
          <w:noProof/>
        </w:rPr>
        <w:lastRenderedPageBreak/>
        <w:drawing>
          <wp:inline distT="0" distB="0" distL="0" distR="0" wp14:anchorId="41A78F46" wp14:editId="54303C68">
            <wp:extent cx="6858000" cy="48475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847511"/>
                    </a:xfrm>
                    <a:prstGeom prst="rect">
                      <a:avLst/>
                    </a:prstGeom>
                  </pic:spPr>
                </pic:pic>
              </a:graphicData>
            </a:graphic>
          </wp:inline>
        </w:drawing>
      </w:r>
    </w:p>
    <w:p w14:paraId="51E11FA9" w14:textId="77777777" w:rsidR="00650E7C" w:rsidRDefault="00650E7C" w:rsidP="006D6F6C"/>
    <w:p w14:paraId="44886E10" w14:textId="77777777" w:rsidR="00650E7C" w:rsidRDefault="00650E7C" w:rsidP="006D6F6C"/>
    <w:p w14:paraId="40F32338" w14:textId="77777777" w:rsidR="00650E7C" w:rsidRDefault="00650E7C" w:rsidP="006D6F6C"/>
    <w:p w14:paraId="4A9AF927" w14:textId="77777777" w:rsidR="00650E7C" w:rsidRDefault="00650E7C" w:rsidP="006D6F6C"/>
    <w:p w14:paraId="365536E5" w14:textId="77777777" w:rsidR="00650E7C" w:rsidRDefault="00650E7C" w:rsidP="006D6F6C"/>
    <w:p w14:paraId="7E27ADFA" w14:textId="77777777" w:rsidR="00650E7C" w:rsidRDefault="00650E7C" w:rsidP="006D6F6C"/>
    <w:p w14:paraId="534A5844" w14:textId="77777777" w:rsidR="00650E7C" w:rsidRDefault="00650E7C" w:rsidP="006D6F6C">
      <w:r>
        <w:t xml:space="preserve">The City’s three largest sources of tax revenue are property tax, sales tax, and business &amp; occupation tax. Property taxes are limited to 1% annual growth in Evergreen State. Because the City’s regular levy rate is well under the legal limit, declining property values have not affected property tax revenues. In contrast, the struggling economy has had a marked impact on sales tax revenues. </w:t>
      </w:r>
    </w:p>
    <w:p w14:paraId="6628F9B3" w14:textId="3003ED69" w:rsidR="00650E7C" w:rsidRDefault="00650E7C" w:rsidP="006D6F6C">
      <w:r>
        <w:t>The City began to see noticeable declines in sales tax in mid-2008, after experiencing extra</w:t>
      </w:r>
      <w:r w:rsidR="00B358A1">
        <w:t>ordinary growth in 2007 and 2008</w:t>
      </w:r>
      <w:r>
        <w:t>. As shown in the chart below, sales tax revenues declined for eight consecutiv</w:t>
      </w:r>
      <w:r w:rsidR="00B358A1">
        <w:t>e quarters starting in June 2009</w:t>
      </w:r>
      <w:r>
        <w:t>. This trend began to turn around, beginning April</w:t>
      </w:r>
      <w:r w:rsidR="00B358A1">
        <w:t xml:space="preserve"> 2011</w:t>
      </w:r>
      <w:r>
        <w:t xml:space="preserve">, with increases every quarter for five quarters. However, another dip occurred </w:t>
      </w:r>
      <w:r w:rsidR="00B358A1">
        <w:t>in mid-2012 through much of 2013. Starting September 2013</w:t>
      </w:r>
      <w:r>
        <w:t xml:space="preserve">, activity </w:t>
      </w:r>
      <w:r>
        <w:lastRenderedPageBreak/>
        <w:t xml:space="preserve">began to increase again, with a return to positive performance </w:t>
      </w:r>
      <w:r w:rsidR="00B358A1">
        <w:t>in the last two quarters of 2013</w:t>
      </w:r>
      <w:r>
        <w:t xml:space="preserve">. Sales tax revenues are expected to grow by 4.8% in </w:t>
      </w:r>
      <w:r w:rsidR="003C3CD0">
        <w:t>2023</w:t>
      </w:r>
      <w:r>
        <w:t xml:space="preserve"> and at 3.0% over the next four years.</w:t>
      </w:r>
    </w:p>
    <w:p w14:paraId="4D002F6E" w14:textId="77777777" w:rsidR="00650E7C" w:rsidRDefault="00650E7C" w:rsidP="00650E7C">
      <w:pPr>
        <w:jc w:val="center"/>
      </w:pPr>
      <w:r>
        <w:rPr>
          <w:noProof/>
        </w:rPr>
        <w:drawing>
          <wp:inline distT="0" distB="0" distL="0" distR="0" wp14:anchorId="598A42AA" wp14:editId="282C4847">
            <wp:extent cx="506730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67300" cy="2514600"/>
                    </a:xfrm>
                    <a:prstGeom prst="rect">
                      <a:avLst/>
                    </a:prstGeom>
                  </pic:spPr>
                </pic:pic>
              </a:graphicData>
            </a:graphic>
          </wp:inline>
        </w:drawing>
      </w:r>
    </w:p>
    <w:p w14:paraId="1B285BEA" w14:textId="77777777" w:rsidR="00650E7C" w:rsidRDefault="00650E7C" w:rsidP="006D6F6C">
      <w:r>
        <w:t>Sales tax revenue per capita is shown in the chart below with annual sales tax revenue translated into constant dollars so that the impact of inflation is removed. The s</w:t>
      </w:r>
      <w:r w:rsidR="00B358A1">
        <w:t>ubstantial decrease between 2007 and 2010</w:t>
      </w:r>
      <w:r>
        <w:t xml:space="preserve"> severely impacted the City’s ability to fund public services. Adjusted for inflation and population growth, we expect that real taxable retail sales may not fully recover for several more years.</w:t>
      </w:r>
    </w:p>
    <w:p w14:paraId="765AE863" w14:textId="77777777" w:rsidR="00650E7C" w:rsidRDefault="00650E7C" w:rsidP="00650E7C">
      <w:pPr>
        <w:jc w:val="center"/>
      </w:pPr>
      <w:r>
        <w:rPr>
          <w:noProof/>
        </w:rPr>
        <w:drawing>
          <wp:inline distT="0" distB="0" distL="0" distR="0" wp14:anchorId="45DDA170" wp14:editId="628710C4">
            <wp:extent cx="4257674"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4257674" cy="2514600"/>
                    </a:xfrm>
                    <a:prstGeom prst="rect">
                      <a:avLst/>
                    </a:prstGeom>
                  </pic:spPr>
                </pic:pic>
              </a:graphicData>
            </a:graphic>
          </wp:inline>
        </w:drawing>
      </w:r>
    </w:p>
    <w:p w14:paraId="189209A4" w14:textId="15E6CBBD" w:rsidR="00650E7C" w:rsidRDefault="00650E7C" w:rsidP="00650E7C">
      <w:r>
        <w:t xml:space="preserve">The chart below breaks out sales tax into major categories and shows variances in activity between </w:t>
      </w:r>
      <w:r w:rsidR="003C3CD0">
        <w:t>2021</w:t>
      </w:r>
      <w:r>
        <w:t xml:space="preserve"> and </w:t>
      </w:r>
      <w:r w:rsidR="003C3CD0">
        <w:t>2022</w:t>
      </w:r>
      <w:r>
        <w:t xml:space="preserve">. The largest gain came in the Manufacturing category where aerospace companies lead the way. The Construction category showed the largest decrease due to several large projects coming to a close. Based on permit activity, construction related sales tax is expected to increase approximately 38% over the </w:t>
      </w:r>
      <w:r w:rsidR="003C3CD0">
        <w:t>2022</w:t>
      </w:r>
      <w:r>
        <w:t xml:space="preserve"> yearend estimate. The City’s largest category, Retail Sales, is expected to grow just 0.3% in </w:t>
      </w:r>
      <w:r w:rsidR="003C3CD0">
        <w:t>2023</w:t>
      </w:r>
      <w:r>
        <w:t xml:space="preserve"> over the </w:t>
      </w:r>
      <w:r w:rsidR="003C3CD0">
        <w:t>2022</w:t>
      </w:r>
      <w:r>
        <w:t xml:space="preserve"> budget.</w:t>
      </w:r>
    </w:p>
    <w:p w14:paraId="35888CCE" w14:textId="77777777" w:rsidR="00650E7C" w:rsidRDefault="00650E7C" w:rsidP="00650E7C">
      <w:pPr>
        <w:jc w:val="center"/>
      </w:pPr>
      <w:r>
        <w:rPr>
          <w:noProof/>
        </w:rPr>
        <w:lastRenderedPageBreak/>
        <w:drawing>
          <wp:inline distT="0" distB="0" distL="0" distR="0" wp14:anchorId="729B0930" wp14:editId="40BC7C69">
            <wp:extent cx="3609975" cy="5753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9975" cy="5753100"/>
                    </a:xfrm>
                    <a:prstGeom prst="rect">
                      <a:avLst/>
                    </a:prstGeom>
                  </pic:spPr>
                </pic:pic>
              </a:graphicData>
            </a:graphic>
          </wp:inline>
        </w:drawing>
      </w:r>
    </w:p>
    <w:p w14:paraId="528E8577" w14:textId="77777777" w:rsidR="00650E7C" w:rsidRDefault="00650E7C" w:rsidP="00650E7C">
      <w:pPr>
        <w:jc w:val="center"/>
      </w:pPr>
    </w:p>
    <w:p w14:paraId="40A2FCC6" w14:textId="77777777" w:rsidR="00650E7C" w:rsidRDefault="00650E7C" w:rsidP="00650E7C">
      <w:pPr>
        <w:jc w:val="center"/>
      </w:pPr>
    </w:p>
    <w:p w14:paraId="47C809E7" w14:textId="77777777" w:rsidR="00650E7C" w:rsidRDefault="00650E7C" w:rsidP="00650E7C">
      <w:pPr>
        <w:jc w:val="center"/>
      </w:pPr>
    </w:p>
    <w:p w14:paraId="6030B1D1" w14:textId="77777777" w:rsidR="00650E7C" w:rsidRDefault="00650E7C" w:rsidP="00650E7C">
      <w:pPr>
        <w:jc w:val="center"/>
      </w:pPr>
    </w:p>
    <w:p w14:paraId="47228308" w14:textId="1BC657D2" w:rsidR="00650E7C" w:rsidRDefault="00650E7C" w:rsidP="00650E7C">
      <w:r>
        <w:t xml:space="preserve">The City’s </w:t>
      </w:r>
      <w:r w:rsidR="003C3CD0">
        <w:t>2022</w:t>
      </w:r>
      <w:r>
        <w:t xml:space="preserve"> business and occupation tax, which is based on gross business receipts, came in 3.3% over </w:t>
      </w:r>
      <w:r w:rsidR="003C3CD0">
        <w:t>2021</w:t>
      </w:r>
      <w:r>
        <w:t xml:space="preserve"> </w:t>
      </w:r>
      <w:proofErr w:type="gramStart"/>
      <w:r>
        <w:t>as a result of</w:t>
      </w:r>
      <w:proofErr w:type="gramEnd"/>
      <w:r>
        <w:t xml:space="preserve"> an increase in audit recoveries and the modest economic recovery. Looking forward, </w:t>
      </w:r>
      <w:r w:rsidR="003C3CD0">
        <w:t>2023</w:t>
      </w:r>
      <w:r>
        <w:t xml:space="preserve"> B&amp;O tax is expected to grow nearly 11% over the </w:t>
      </w:r>
      <w:r w:rsidR="003C3CD0">
        <w:t>2022</w:t>
      </w:r>
      <w:r>
        <w:t xml:space="preserve"> budget </w:t>
      </w:r>
      <w:proofErr w:type="gramStart"/>
      <w:r>
        <w:t>based in large part on</w:t>
      </w:r>
      <w:proofErr w:type="gramEnd"/>
      <w:r>
        <w:t xml:space="preserve"> Woodchuck Industries deliveries, which are expected to remain strong for the next several years. The chart below shows actual and forecast deliveries for a ten year period. </w:t>
      </w:r>
      <w:r w:rsidR="00B9571C">
        <w:t xml:space="preserve">Woodchuck Industries builds or assembles </w:t>
      </w:r>
      <w:proofErr w:type="gramStart"/>
      <w:r w:rsidR="00B9571C">
        <w:t>all of</w:t>
      </w:r>
      <w:proofErr w:type="gramEnd"/>
      <w:r w:rsidR="00B9571C">
        <w:t xml:space="preserve"> its major products</w:t>
      </w:r>
      <w:r>
        <w:t xml:space="preserve"> in </w:t>
      </w:r>
      <w:r w:rsidR="003C3CD0">
        <w:t>Spruce</w:t>
      </w:r>
      <w:r>
        <w:t>.</w:t>
      </w:r>
    </w:p>
    <w:p w14:paraId="12099729" w14:textId="77777777" w:rsidR="00B9571C" w:rsidRDefault="00B9571C" w:rsidP="00B9571C">
      <w:pPr>
        <w:jc w:val="center"/>
      </w:pPr>
      <w:r>
        <w:rPr>
          <w:noProof/>
        </w:rPr>
        <w:lastRenderedPageBreak/>
        <w:drawing>
          <wp:inline distT="0" distB="0" distL="0" distR="0" wp14:anchorId="19FD994B" wp14:editId="30EEA139">
            <wp:extent cx="5200239" cy="2742983"/>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extLst>
                        <a:ext uri="{28A0092B-C50C-407E-A947-70E740481C1C}">
                          <a14:useLocalDpi xmlns:a14="http://schemas.microsoft.com/office/drawing/2010/main" val="0"/>
                        </a:ext>
                      </a:extLst>
                    </a:blip>
                    <a:stretch>
                      <a:fillRect/>
                    </a:stretch>
                  </pic:blipFill>
                  <pic:spPr>
                    <a:xfrm>
                      <a:off x="0" y="0"/>
                      <a:ext cx="5200239" cy="2742983"/>
                    </a:xfrm>
                    <a:prstGeom prst="rect">
                      <a:avLst/>
                    </a:prstGeom>
                  </pic:spPr>
                </pic:pic>
              </a:graphicData>
            </a:graphic>
          </wp:inline>
        </w:drawing>
      </w:r>
    </w:p>
    <w:p w14:paraId="14F8BDCA" w14:textId="6C774C64" w:rsidR="00B9571C" w:rsidRDefault="00B9571C" w:rsidP="00B9571C">
      <w:r>
        <w:t xml:space="preserve">Monthly real estate excise tax (REET) receipts (0.5% of the value of real estate transactions) represent a vital funding source for park and road projects and debt service payments </w:t>
      </w:r>
      <w:proofErr w:type="gramStart"/>
      <w:r>
        <w:t>on</w:t>
      </w:r>
      <w:proofErr w:type="gramEnd"/>
      <w:r>
        <w:t xml:space="preserve"> the </w:t>
      </w:r>
      <w:r w:rsidR="003C3CD0">
        <w:t>Spruce</w:t>
      </w:r>
      <w:r>
        <w:t xml:space="preserve"> Events Center. The following chart illustrates the impact of the Great Recession on REET revenues, beginning with a precipitous drop in 200</w:t>
      </w:r>
      <w:r w:rsidR="00B358A1">
        <w:t>9</w:t>
      </w:r>
      <w:r>
        <w:t xml:space="preserve"> that was followed by an </w:t>
      </w:r>
      <w:r w:rsidR="00B358A1">
        <w:t>additional large decline in 2010</w:t>
      </w:r>
      <w:r>
        <w:t xml:space="preserve">. </w:t>
      </w:r>
    </w:p>
    <w:p w14:paraId="2595A336" w14:textId="4C24C905" w:rsidR="00B9571C" w:rsidRDefault="00B9571C" w:rsidP="00B9571C">
      <w:r>
        <w:t>Col</w:t>
      </w:r>
      <w:r w:rsidR="00B358A1">
        <w:t>lections began improving in 2012</w:t>
      </w:r>
      <w:r>
        <w:t xml:space="preserve"> and continued strong in </w:t>
      </w:r>
      <w:r w:rsidR="003C3CD0">
        <w:t>2022</w:t>
      </w:r>
      <w:r>
        <w:t xml:space="preserve"> with revenues coming in 33% higher than originally budgeted. The large increase in </w:t>
      </w:r>
      <w:r w:rsidR="003C3CD0">
        <w:t>2022</w:t>
      </w:r>
      <w:r>
        <w:t xml:space="preserve"> was due, in part, to large commercial sales. Based on indications that the housing market will remain </w:t>
      </w:r>
      <w:proofErr w:type="gramStart"/>
      <w:r>
        <w:t>steady,</w:t>
      </w:r>
      <w:proofErr w:type="gramEnd"/>
      <w:r>
        <w:t xml:space="preserve"> </w:t>
      </w:r>
      <w:r w:rsidR="003C3CD0">
        <w:t>2023</w:t>
      </w:r>
      <w:r>
        <w:t xml:space="preserve"> collections are budgeted to remain fairly flat in </w:t>
      </w:r>
      <w:r w:rsidR="003C3CD0">
        <w:t>2023</w:t>
      </w:r>
      <w:r>
        <w:t>.</w:t>
      </w:r>
    </w:p>
    <w:p w14:paraId="78A30443" w14:textId="77777777" w:rsidR="00B9571C" w:rsidRDefault="00B9571C" w:rsidP="00B9571C">
      <w:pPr>
        <w:jc w:val="center"/>
      </w:pPr>
      <w:r>
        <w:rPr>
          <w:noProof/>
        </w:rPr>
        <w:drawing>
          <wp:inline distT="0" distB="0" distL="0" distR="0" wp14:anchorId="4DABCC6A" wp14:editId="52CDEE00">
            <wp:extent cx="5476874"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76874" cy="2571750"/>
                    </a:xfrm>
                    <a:prstGeom prst="rect">
                      <a:avLst/>
                    </a:prstGeom>
                  </pic:spPr>
                </pic:pic>
              </a:graphicData>
            </a:graphic>
          </wp:inline>
        </w:drawing>
      </w:r>
    </w:p>
    <w:p w14:paraId="20E780A4" w14:textId="16D51B92" w:rsidR="00B9571C" w:rsidRPr="00B9571C" w:rsidRDefault="00B9571C" w:rsidP="00B9571C">
      <w:pPr>
        <w:rPr>
          <w:rFonts w:ascii="Arial Black" w:hAnsi="Arial Black"/>
        </w:rPr>
      </w:pPr>
      <w:r w:rsidRPr="00B9571C">
        <w:rPr>
          <w:rFonts w:ascii="Arial Black" w:hAnsi="Arial Black"/>
        </w:rPr>
        <w:t xml:space="preserve">City of </w:t>
      </w:r>
      <w:r w:rsidR="003C3CD0">
        <w:rPr>
          <w:rFonts w:ascii="Arial Black" w:hAnsi="Arial Black"/>
        </w:rPr>
        <w:t>Spruce</w:t>
      </w:r>
      <w:r w:rsidRPr="00B9571C">
        <w:rPr>
          <w:rFonts w:ascii="Arial Black" w:hAnsi="Arial Black"/>
        </w:rPr>
        <w:t xml:space="preserve"> - </w:t>
      </w:r>
      <w:r w:rsidR="003C3CD0">
        <w:rPr>
          <w:rFonts w:ascii="Arial Black" w:hAnsi="Arial Black"/>
        </w:rPr>
        <w:t>2023</w:t>
      </w:r>
      <w:r w:rsidRPr="00B9571C">
        <w:rPr>
          <w:rFonts w:ascii="Arial Black" w:hAnsi="Arial Black"/>
        </w:rPr>
        <w:t xml:space="preserve"> Priorities and Current Initiatives</w:t>
      </w:r>
    </w:p>
    <w:p w14:paraId="6C3EE89F" w14:textId="7AE11100" w:rsidR="00B9571C" w:rsidRDefault="00B9571C" w:rsidP="00B9571C">
      <w:r>
        <w:t xml:space="preserve">The City of </w:t>
      </w:r>
      <w:r w:rsidR="003C3CD0">
        <w:t>Spruce</w:t>
      </w:r>
      <w:r>
        <w:t xml:space="preserve"> current initiatives focus on keeping our </w:t>
      </w:r>
      <w:proofErr w:type="gramStart"/>
      <w:r>
        <w:t>City</w:t>
      </w:r>
      <w:proofErr w:type="gramEnd"/>
      <w:r>
        <w:t xml:space="preserve"> services strong while preparing for future opportunities.</w:t>
      </w:r>
    </w:p>
    <w:p w14:paraId="446EFBD2" w14:textId="77777777" w:rsidR="00B9571C" w:rsidRPr="00B9571C" w:rsidRDefault="00B9571C" w:rsidP="00B9571C">
      <w:pPr>
        <w:pStyle w:val="ListParagraph"/>
        <w:numPr>
          <w:ilvl w:val="0"/>
          <w:numId w:val="4"/>
        </w:numPr>
        <w:rPr>
          <w:b/>
        </w:rPr>
      </w:pPr>
      <w:r w:rsidRPr="00B9571C">
        <w:rPr>
          <w:b/>
        </w:rPr>
        <w:t xml:space="preserve">Foundation of a Great Community </w:t>
      </w:r>
    </w:p>
    <w:p w14:paraId="70BF7C08" w14:textId="77777777" w:rsidR="00C56AD0" w:rsidRDefault="00C56AD0" w:rsidP="00C56AD0">
      <w:pPr>
        <w:pStyle w:val="ListParagraph"/>
        <w:ind w:left="1080"/>
      </w:pPr>
    </w:p>
    <w:p w14:paraId="7D062973" w14:textId="77777777" w:rsidR="00B9571C" w:rsidRDefault="00B9571C" w:rsidP="00B9571C">
      <w:pPr>
        <w:pStyle w:val="ListParagraph"/>
        <w:numPr>
          <w:ilvl w:val="0"/>
          <w:numId w:val="5"/>
        </w:numPr>
      </w:pPr>
      <w:r>
        <w:t xml:space="preserve">Financial Health </w:t>
      </w:r>
    </w:p>
    <w:p w14:paraId="70712C5E" w14:textId="59DA3E4F" w:rsidR="00B9571C" w:rsidRDefault="00B9571C" w:rsidP="00B9571C">
      <w:pPr>
        <w:ind w:left="1440"/>
      </w:pPr>
      <w:r>
        <w:lastRenderedPageBreak/>
        <w:t xml:space="preserve">The City continues to live within its means and is maintaining compliance with the fund balance policy. As noted earlier, this past spring the City underwent a comprehensive review of city businesses in an effort to bring our finances into structural balance for the long term. Several suggestions were developed and a number of them have already been implemented. This work continued throughout </w:t>
      </w:r>
      <w:r w:rsidR="003C3CD0">
        <w:t>2022</w:t>
      </w:r>
      <w:r>
        <w:t xml:space="preserve"> and will continue through </w:t>
      </w:r>
      <w:r w:rsidR="003C3CD0">
        <w:t>2023</w:t>
      </w:r>
      <w:r>
        <w:t xml:space="preserve">. </w:t>
      </w:r>
    </w:p>
    <w:p w14:paraId="40BFFB46" w14:textId="2EC69C4A" w:rsidR="00B9571C" w:rsidRDefault="003C3CD0" w:rsidP="00B9571C">
      <w:pPr>
        <w:ind w:left="1440"/>
      </w:pPr>
      <w:r>
        <w:t>Spruce</w:t>
      </w:r>
      <w:r w:rsidR="00B9571C">
        <w:t xml:space="preserve">’s general obligation and revenue debt rating were reaffirmed by Standard &amp; Poor’s at AA+ in October </w:t>
      </w:r>
      <w:r>
        <w:t>2022</w:t>
      </w:r>
      <w:r w:rsidR="00B9571C">
        <w:t xml:space="preserve"> and January </w:t>
      </w:r>
      <w:r>
        <w:t>2021</w:t>
      </w:r>
      <w:r w:rsidR="00B9571C">
        <w:t xml:space="preserve">, respectively. This strong rating means </w:t>
      </w:r>
      <w:r>
        <w:t>Spruce</w:t>
      </w:r>
      <w:r w:rsidR="00B9571C">
        <w:t xml:space="preserve"> taxpayers likely will pay lower interest rates on bonds issued for capital improvements than they would have if the City held a lower credit rating. </w:t>
      </w:r>
    </w:p>
    <w:p w14:paraId="20178047" w14:textId="1AE9F33F" w:rsidR="00B9571C" w:rsidRDefault="00B9571C" w:rsidP="00B9571C">
      <w:pPr>
        <w:ind w:left="1440"/>
      </w:pPr>
      <w:r>
        <w:t xml:space="preserve">The </w:t>
      </w:r>
      <w:r w:rsidR="003C3CD0">
        <w:t>2023</w:t>
      </w:r>
      <w:r>
        <w:t xml:space="preserve"> budget maintains the City’s essential service levels; </w:t>
      </w:r>
      <w:proofErr w:type="gramStart"/>
      <w:r>
        <w:t>however</w:t>
      </w:r>
      <w:proofErr w:type="gramEnd"/>
      <w:r>
        <w:t xml:space="preserve"> Administration continues to watch the changing dynamics of the economy and is prepared to make adjustments as necessary. </w:t>
      </w:r>
    </w:p>
    <w:p w14:paraId="40A0E116" w14:textId="77777777" w:rsidR="00B9571C" w:rsidRDefault="00B9571C" w:rsidP="00B9571C">
      <w:pPr>
        <w:pStyle w:val="ListParagraph"/>
        <w:numPr>
          <w:ilvl w:val="0"/>
          <w:numId w:val="5"/>
        </w:numPr>
      </w:pPr>
      <w:r>
        <w:t xml:space="preserve">Public Safety </w:t>
      </w:r>
    </w:p>
    <w:p w14:paraId="76E7D2CB" w14:textId="635537CA" w:rsidR="00B9571C" w:rsidRDefault="00B9571C" w:rsidP="00B9571C">
      <w:pPr>
        <w:ind w:left="1440"/>
      </w:pPr>
      <w:r>
        <w:t xml:space="preserve">As part of the comprehensive budget review noted above, the City hired an outside consultant to perform an in-depth review of the Fire department to ensure resources and staffing practices are appropriately aligned with the types of calls and requests for service we receive. This study will be completed in </w:t>
      </w:r>
      <w:r w:rsidR="003C3CD0">
        <w:t>2023</w:t>
      </w:r>
      <w:r>
        <w:t xml:space="preserve">. </w:t>
      </w:r>
    </w:p>
    <w:p w14:paraId="368EB2BA" w14:textId="3EAB817C" w:rsidR="00B9571C" w:rsidRDefault="00B9571C" w:rsidP="00B9571C">
      <w:pPr>
        <w:ind w:left="1440"/>
      </w:pPr>
      <w:r>
        <w:t xml:space="preserve">The Police Department completed a strategic plan in </w:t>
      </w:r>
      <w:r w:rsidR="003C3CD0">
        <w:t>2021</w:t>
      </w:r>
      <w:r>
        <w:t xml:space="preserve"> that </w:t>
      </w:r>
      <w:proofErr w:type="spellStart"/>
      <w:proofErr w:type="gramStart"/>
      <w:r>
        <w:t>layed</w:t>
      </w:r>
      <w:proofErr w:type="spellEnd"/>
      <w:proofErr w:type="gramEnd"/>
      <w:r>
        <w:t xml:space="preserve"> a blueprint for police operations and service delivery over the next five years. The department is well underway in implementing the plan. The Residential Graffiti Removal Program continues into its seventh year in </w:t>
      </w:r>
      <w:r w:rsidR="003C3CD0">
        <w:t>2023</w:t>
      </w:r>
      <w:r>
        <w:t xml:space="preserve">. </w:t>
      </w:r>
    </w:p>
    <w:p w14:paraId="1B6B6283" w14:textId="77777777" w:rsidR="00B9571C" w:rsidRDefault="00B9571C" w:rsidP="00B9571C">
      <w:pPr>
        <w:pStyle w:val="ListParagraph"/>
        <w:numPr>
          <w:ilvl w:val="0"/>
          <w:numId w:val="5"/>
        </w:numPr>
      </w:pPr>
      <w:r>
        <w:t xml:space="preserve">Transportation </w:t>
      </w:r>
    </w:p>
    <w:p w14:paraId="01AF065F" w14:textId="6FD228D5" w:rsidR="00B9571C" w:rsidRDefault="00B9571C" w:rsidP="00B9571C">
      <w:pPr>
        <w:ind w:left="1440"/>
      </w:pPr>
      <w:r>
        <w:t xml:space="preserve">The </w:t>
      </w:r>
      <w:proofErr w:type="gramStart"/>
      <w:r>
        <w:t>City</w:t>
      </w:r>
      <w:proofErr w:type="gramEnd"/>
      <w:r>
        <w:t xml:space="preserve"> will make a $21.2 million investment in streets in </w:t>
      </w:r>
      <w:r w:rsidR="003C3CD0">
        <w:t>2023</w:t>
      </w:r>
      <w:r>
        <w:t xml:space="preserve">. Projects include a larger annual overlay program, the replacement of the Broadway Bridge at Hewitt Avenue, the Grand Avenue Park pedestrian bridge, and the 41st Street to West Marine View Drive freight mobility project. </w:t>
      </w:r>
    </w:p>
    <w:p w14:paraId="329428A1" w14:textId="77777777" w:rsidR="00B9571C" w:rsidRDefault="00B9571C" w:rsidP="00B9571C">
      <w:pPr>
        <w:pStyle w:val="ListParagraph"/>
        <w:ind w:left="1080"/>
      </w:pPr>
    </w:p>
    <w:p w14:paraId="78E77238" w14:textId="77777777" w:rsidR="00B9571C" w:rsidRDefault="00B9571C" w:rsidP="00B9571C">
      <w:pPr>
        <w:pStyle w:val="ListParagraph"/>
        <w:numPr>
          <w:ilvl w:val="0"/>
          <w:numId w:val="5"/>
        </w:numPr>
      </w:pPr>
      <w:r>
        <w:t xml:space="preserve">Water/Sewer Utilities </w:t>
      </w:r>
    </w:p>
    <w:p w14:paraId="6215B4FE" w14:textId="35AE6CB2" w:rsidR="00B9571C" w:rsidRDefault="00B9571C" w:rsidP="00B9571C">
      <w:pPr>
        <w:ind w:left="1440"/>
      </w:pPr>
      <w:r>
        <w:t xml:space="preserve">Over the next decade, the City will spend more than $550 million to improve drinking water and wastewater systems to meet growth demands and regulatory requirements. The </w:t>
      </w:r>
      <w:proofErr w:type="gramStart"/>
      <w:r>
        <w:t>City</w:t>
      </w:r>
      <w:proofErr w:type="gramEnd"/>
      <w:r>
        <w:t xml:space="preserve"> provides drinking water to more than 550,000 people in </w:t>
      </w:r>
      <w:r w:rsidR="003C3CD0">
        <w:t>Spruce</w:t>
      </w:r>
      <w:r>
        <w:t xml:space="preserve"> and </w:t>
      </w:r>
      <w:r w:rsidR="00C56AD0">
        <w:t xml:space="preserve">adjacent </w:t>
      </w:r>
      <w:r>
        <w:t>areas</w:t>
      </w:r>
      <w:r w:rsidR="00C56AD0">
        <w:t xml:space="preserve">, and sewer service to more than 140,000 people in </w:t>
      </w:r>
      <w:r w:rsidR="003C3CD0">
        <w:t>Spruce</w:t>
      </w:r>
      <w:r w:rsidR="00C56AD0">
        <w:t xml:space="preserve"> and adjacent areas.</w:t>
      </w:r>
    </w:p>
    <w:p w14:paraId="75CD6EC7" w14:textId="77777777" w:rsidR="00C56AD0" w:rsidRDefault="00C56AD0" w:rsidP="00C56AD0">
      <w:pPr>
        <w:pStyle w:val="ListParagraph"/>
        <w:numPr>
          <w:ilvl w:val="0"/>
          <w:numId w:val="4"/>
        </w:numPr>
        <w:rPr>
          <w:b/>
        </w:rPr>
      </w:pPr>
      <w:r w:rsidRPr="00C56AD0">
        <w:rPr>
          <w:b/>
        </w:rPr>
        <w:t>Investment and Redevelopment</w:t>
      </w:r>
    </w:p>
    <w:p w14:paraId="651FC7D2" w14:textId="77777777" w:rsidR="00C56AD0" w:rsidRPr="00C56AD0" w:rsidRDefault="00C56AD0" w:rsidP="00C56AD0">
      <w:pPr>
        <w:pStyle w:val="ListParagraph"/>
        <w:ind w:left="1080"/>
        <w:rPr>
          <w:b/>
        </w:rPr>
      </w:pPr>
    </w:p>
    <w:p w14:paraId="0F41A320" w14:textId="52658AB2" w:rsidR="00C56AD0" w:rsidRPr="00C56AD0" w:rsidRDefault="00C56AD0" w:rsidP="00C56AD0">
      <w:pPr>
        <w:pStyle w:val="ListParagraph"/>
        <w:numPr>
          <w:ilvl w:val="0"/>
          <w:numId w:val="5"/>
        </w:numPr>
        <w:rPr>
          <w:b/>
        </w:rPr>
      </w:pPr>
      <w:r>
        <w:t xml:space="preserve">Large projects in the planning stages or underway in </w:t>
      </w:r>
      <w:r w:rsidR="003C3CD0">
        <w:t>Spruce</w:t>
      </w:r>
      <w:r>
        <w:t xml:space="preserve"> include:</w:t>
      </w:r>
    </w:p>
    <w:p w14:paraId="641BC250" w14:textId="77777777" w:rsidR="00C56AD0" w:rsidRDefault="00C56AD0" w:rsidP="00C56AD0">
      <w:pPr>
        <w:pStyle w:val="ListParagraph"/>
        <w:ind w:left="1080"/>
      </w:pPr>
    </w:p>
    <w:p w14:paraId="17FA600A" w14:textId="6DBDF0E1" w:rsidR="00C56AD0" w:rsidRDefault="00C56AD0" w:rsidP="00C56AD0">
      <w:pPr>
        <w:pStyle w:val="ListParagraph"/>
        <w:ind w:left="1440"/>
      </w:pPr>
      <w:r>
        <w:t xml:space="preserve">The </w:t>
      </w:r>
      <w:r w:rsidR="003C3CD0">
        <w:t>Spruce</w:t>
      </w:r>
      <w:r>
        <w:t xml:space="preserve"> Community College expansion, which will conclude with a doubling of the campus size by </w:t>
      </w:r>
      <w:r w:rsidR="003C3CD0">
        <w:t>2023</w:t>
      </w:r>
      <w:r>
        <w:t xml:space="preserve">. </w:t>
      </w:r>
    </w:p>
    <w:p w14:paraId="7B432576" w14:textId="77777777" w:rsidR="00C56AD0" w:rsidRDefault="00C56AD0" w:rsidP="00C56AD0">
      <w:pPr>
        <w:pStyle w:val="ListParagraph"/>
        <w:ind w:left="1440"/>
      </w:pPr>
      <w:r>
        <w:t xml:space="preserve">The Farmer’s Market and residential living project. </w:t>
      </w:r>
    </w:p>
    <w:p w14:paraId="5A012B28" w14:textId="77777777" w:rsidR="00C56AD0" w:rsidRDefault="00C56AD0" w:rsidP="00C56AD0">
      <w:pPr>
        <w:pStyle w:val="ListParagraph"/>
        <w:ind w:left="1440"/>
      </w:pPr>
      <w:r>
        <w:t xml:space="preserve">Woodchuck Industries manufacturing facility. </w:t>
      </w:r>
    </w:p>
    <w:p w14:paraId="79E19124" w14:textId="77777777" w:rsidR="00C56AD0" w:rsidRDefault="00C56AD0" w:rsidP="00C56AD0">
      <w:pPr>
        <w:pStyle w:val="ListParagraph"/>
        <w:ind w:left="1440"/>
      </w:pPr>
      <w:r>
        <w:lastRenderedPageBreak/>
        <w:t xml:space="preserve">The new Marriott Courtyard Hotel on </w:t>
      </w:r>
      <w:proofErr w:type="spellStart"/>
      <w:r>
        <w:t>surplused</w:t>
      </w:r>
      <w:proofErr w:type="spellEnd"/>
      <w:r>
        <w:t xml:space="preserve"> City property. </w:t>
      </w:r>
    </w:p>
    <w:p w14:paraId="5D8A1CB2" w14:textId="13F78F02" w:rsidR="00C56AD0" w:rsidRDefault="00C56AD0" w:rsidP="00C56AD0">
      <w:pPr>
        <w:pStyle w:val="ListParagraph"/>
        <w:ind w:left="1440"/>
      </w:pPr>
      <w:r>
        <w:t xml:space="preserve">The Port of </w:t>
      </w:r>
      <w:r w:rsidR="003C3CD0">
        <w:t>Spruce</w:t>
      </w:r>
      <w:r>
        <w:t>’s waterfront development.</w:t>
      </w:r>
    </w:p>
    <w:p w14:paraId="167BB401" w14:textId="77777777" w:rsidR="00C56AD0" w:rsidRDefault="00C56AD0" w:rsidP="00C56AD0">
      <w:pPr>
        <w:pStyle w:val="ListParagraph"/>
        <w:ind w:left="1440"/>
      </w:pPr>
    </w:p>
    <w:p w14:paraId="22B54DF3" w14:textId="77777777" w:rsidR="00C56AD0" w:rsidRPr="00C56AD0" w:rsidRDefault="00C56AD0" w:rsidP="00C56AD0">
      <w:pPr>
        <w:pStyle w:val="ListParagraph"/>
        <w:numPr>
          <w:ilvl w:val="0"/>
          <w:numId w:val="5"/>
        </w:numPr>
        <w:rPr>
          <w:b/>
        </w:rPr>
      </w:pPr>
      <w:r>
        <w:t xml:space="preserve">Economic Development Focus </w:t>
      </w:r>
    </w:p>
    <w:p w14:paraId="207C36F9" w14:textId="77777777" w:rsidR="00C56AD0" w:rsidRDefault="00C56AD0" w:rsidP="00C56AD0">
      <w:pPr>
        <w:pStyle w:val="ListParagraph"/>
        <w:ind w:left="1080"/>
      </w:pPr>
    </w:p>
    <w:p w14:paraId="5855C42D" w14:textId="3ECA7710" w:rsidR="00C56AD0" w:rsidRDefault="00C56AD0" w:rsidP="00C56AD0">
      <w:pPr>
        <w:pStyle w:val="ListParagraph"/>
        <w:ind w:left="1440"/>
      </w:pPr>
      <w:r>
        <w:t xml:space="preserve">The fundamentals for a strong and increasingly diverse economy exist in </w:t>
      </w:r>
      <w:r w:rsidR="003C3CD0">
        <w:t>Spruce</w:t>
      </w:r>
      <w:r>
        <w:t xml:space="preserve">, including manufacturing, the health care community, the Port of </w:t>
      </w:r>
      <w:r w:rsidR="003C3CD0">
        <w:t>Spruce</w:t>
      </w:r>
      <w:r>
        <w:t xml:space="preserve">, and the SW </w:t>
      </w:r>
      <w:r w:rsidR="003C3CD0">
        <w:t>Spruce</w:t>
      </w:r>
      <w:r>
        <w:t xml:space="preserve"> light industrial area. Residential construction is expected to begin in the Riverfront area in </w:t>
      </w:r>
      <w:r w:rsidR="003C3CD0">
        <w:t>2022</w:t>
      </w:r>
      <w:r>
        <w:t xml:space="preserve"> with more than 200 homes completed by </w:t>
      </w:r>
      <w:r w:rsidR="003C3CD0">
        <w:t>2023</w:t>
      </w:r>
      <w:r>
        <w:t>.</w:t>
      </w:r>
    </w:p>
    <w:p w14:paraId="6D53C464" w14:textId="77777777" w:rsidR="00C56AD0" w:rsidRDefault="00C56AD0" w:rsidP="00C56AD0">
      <w:pPr>
        <w:pStyle w:val="ListParagraph"/>
        <w:ind w:left="1440"/>
      </w:pPr>
    </w:p>
    <w:p w14:paraId="41A22C8F" w14:textId="77777777" w:rsidR="00C56AD0" w:rsidRPr="00C56AD0" w:rsidRDefault="00C56AD0" w:rsidP="00C56AD0">
      <w:pPr>
        <w:pStyle w:val="ListParagraph"/>
        <w:numPr>
          <w:ilvl w:val="0"/>
          <w:numId w:val="5"/>
        </w:numPr>
        <w:rPr>
          <w:b/>
        </w:rPr>
      </w:pPr>
      <w:r>
        <w:t xml:space="preserve">Higher Education </w:t>
      </w:r>
    </w:p>
    <w:p w14:paraId="05944A16" w14:textId="77777777" w:rsidR="00C56AD0" w:rsidRDefault="00C56AD0" w:rsidP="00C56AD0">
      <w:pPr>
        <w:pStyle w:val="ListParagraph"/>
        <w:ind w:left="1440"/>
      </w:pPr>
    </w:p>
    <w:p w14:paraId="24EAE331" w14:textId="7EE8CA47" w:rsidR="00C56AD0" w:rsidRDefault="00C56AD0" w:rsidP="00C56AD0">
      <w:pPr>
        <w:pStyle w:val="ListParagraph"/>
        <w:ind w:left="1440"/>
      </w:pPr>
      <w:r>
        <w:t xml:space="preserve">Bringing a four-year university to </w:t>
      </w:r>
      <w:r w:rsidR="003C3CD0">
        <w:t>Spruce</w:t>
      </w:r>
      <w:r>
        <w:t xml:space="preserve"> is in the forefront of our goals for this community. The </w:t>
      </w:r>
      <w:proofErr w:type="gramStart"/>
      <w:r>
        <w:t>City</w:t>
      </w:r>
      <w:proofErr w:type="gramEnd"/>
      <w:r>
        <w:t xml:space="preserve"> believes that </w:t>
      </w:r>
      <w:r w:rsidR="003C3CD0">
        <w:t>Spruce</w:t>
      </w:r>
      <w:r>
        <w:t xml:space="preserve"> is the best location for a new four-year university that will provide the upper-division and advanced-degree access that our students, families, and employers seek. </w:t>
      </w:r>
      <w:r w:rsidR="003C3CD0">
        <w:t>Spruce</w:t>
      </w:r>
      <w:r>
        <w:t xml:space="preserve"> and the County continue to be among the most </w:t>
      </w:r>
      <w:proofErr w:type="gramStart"/>
      <w:r>
        <w:t>under-served</w:t>
      </w:r>
      <w:proofErr w:type="gramEnd"/>
      <w:r>
        <w:t xml:space="preserve"> areas of the state. </w:t>
      </w:r>
    </w:p>
    <w:p w14:paraId="621AA74A" w14:textId="77777777" w:rsidR="00C56AD0" w:rsidRDefault="00C56AD0" w:rsidP="00C56AD0">
      <w:pPr>
        <w:pStyle w:val="ListParagraph"/>
        <w:ind w:left="1440"/>
      </w:pPr>
    </w:p>
    <w:p w14:paraId="3390AF94" w14:textId="2EB5846F" w:rsidR="00C56AD0" w:rsidRDefault="00C56AD0" w:rsidP="00C56AD0">
      <w:pPr>
        <w:pStyle w:val="ListParagraph"/>
        <w:ind w:left="1440"/>
      </w:pPr>
      <w:r>
        <w:t xml:space="preserve">Design and plans to expand </w:t>
      </w:r>
      <w:r w:rsidR="003C3CD0">
        <w:t>Spruce</w:t>
      </w:r>
      <w:r>
        <w:t xml:space="preserve"> Community College are underway with $10 million from the State Legislature. Additional funding is being sought for construction.</w:t>
      </w:r>
    </w:p>
    <w:p w14:paraId="50AC979B" w14:textId="77777777" w:rsidR="00C56AD0" w:rsidRPr="00C56AD0" w:rsidRDefault="00C56AD0" w:rsidP="00C56AD0">
      <w:pPr>
        <w:pStyle w:val="ListParagraph"/>
        <w:ind w:left="1080"/>
        <w:rPr>
          <w:b/>
        </w:rPr>
      </w:pPr>
    </w:p>
    <w:p w14:paraId="08410328" w14:textId="696F79F2" w:rsidR="00C56AD0" w:rsidRPr="00C56AD0" w:rsidRDefault="00C56AD0" w:rsidP="00C56AD0">
      <w:pPr>
        <w:pStyle w:val="ListParagraph"/>
        <w:numPr>
          <w:ilvl w:val="0"/>
          <w:numId w:val="5"/>
        </w:numPr>
        <w:rPr>
          <w:b/>
        </w:rPr>
      </w:pPr>
      <w:r>
        <w:t xml:space="preserve">Commercial Air at </w:t>
      </w:r>
      <w:r w:rsidR="003C3CD0">
        <w:t>Spruce</w:t>
      </w:r>
      <w:r>
        <w:t xml:space="preserve"> Field </w:t>
      </w:r>
    </w:p>
    <w:p w14:paraId="4122D3F2" w14:textId="77777777" w:rsidR="00C56AD0" w:rsidRDefault="00C56AD0" w:rsidP="00C56AD0">
      <w:pPr>
        <w:pStyle w:val="ListParagraph"/>
        <w:ind w:left="1440"/>
      </w:pPr>
    </w:p>
    <w:p w14:paraId="7029D084" w14:textId="2332BBE4" w:rsidR="00C56AD0" w:rsidRDefault="00C56AD0" w:rsidP="00C56AD0">
      <w:pPr>
        <w:pStyle w:val="ListParagraph"/>
        <w:ind w:left="1440"/>
      </w:pPr>
      <w:r>
        <w:t xml:space="preserve">The </w:t>
      </w:r>
      <w:proofErr w:type="gramStart"/>
      <w:r>
        <w:t>City</w:t>
      </w:r>
      <w:proofErr w:type="gramEnd"/>
      <w:r>
        <w:t xml:space="preserve"> supports the development of commercial flights at </w:t>
      </w:r>
      <w:r w:rsidR="003C3CD0">
        <w:t>Spruce</w:t>
      </w:r>
      <w:r>
        <w:t xml:space="preserve"> Field. A 2008 study showed that the City could attract more and larger high-tech businesses if commercial air service were more convenient. The study also said that regularly scheduled passenger flights could stimulate tourism and other economic development in the region.</w:t>
      </w:r>
    </w:p>
    <w:p w14:paraId="0F313D7C" w14:textId="77777777" w:rsidR="00C56AD0" w:rsidRDefault="00C56AD0" w:rsidP="00C56AD0">
      <w:pPr>
        <w:pStyle w:val="ListParagraph"/>
        <w:ind w:left="1440"/>
      </w:pPr>
    </w:p>
    <w:p w14:paraId="6F107651" w14:textId="77777777" w:rsidR="00C56AD0" w:rsidRPr="00C56AD0" w:rsidRDefault="00C56AD0" w:rsidP="00C56AD0">
      <w:pPr>
        <w:pStyle w:val="ListParagraph"/>
        <w:numPr>
          <w:ilvl w:val="0"/>
          <w:numId w:val="4"/>
        </w:numPr>
        <w:rPr>
          <w:b/>
        </w:rPr>
      </w:pPr>
      <w:r w:rsidRPr="00C56AD0">
        <w:rPr>
          <w:b/>
        </w:rPr>
        <w:t>Improving our Quality of Life</w:t>
      </w:r>
    </w:p>
    <w:p w14:paraId="6597EB13" w14:textId="77777777" w:rsidR="00C56AD0" w:rsidRPr="00C56AD0" w:rsidRDefault="00C56AD0" w:rsidP="00C56AD0">
      <w:pPr>
        <w:pStyle w:val="ListParagraph"/>
        <w:ind w:left="1080"/>
        <w:rPr>
          <w:b/>
        </w:rPr>
      </w:pPr>
    </w:p>
    <w:p w14:paraId="1022163E" w14:textId="77777777" w:rsidR="00FF699D" w:rsidRPr="00FF699D" w:rsidRDefault="00C56AD0" w:rsidP="00C56AD0">
      <w:pPr>
        <w:pStyle w:val="ListParagraph"/>
        <w:numPr>
          <w:ilvl w:val="0"/>
          <w:numId w:val="5"/>
        </w:numPr>
        <w:rPr>
          <w:b/>
        </w:rPr>
      </w:pPr>
      <w:r>
        <w:t xml:space="preserve">Parks </w:t>
      </w:r>
    </w:p>
    <w:p w14:paraId="06BBEFF1" w14:textId="77777777" w:rsidR="00FF699D" w:rsidRDefault="00FF699D" w:rsidP="00FF699D">
      <w:pPr>
        <w:pStyle w:val="ListParagraph"/>
        <w:ind w:left="1080"/>
      </w:pPr>
    </w:p>
    <w:p w14:paraId="72F0927E" w14:textId="34291D33" w:rsidR="00C56AD0" w:rsidRPr="00FF699D" w:rsidRDefault="00C56AD0" w:rsidP="00FF699D">
      <w:pPr>
        <w:pStyle w:val="ListParagraph"/>
        <w:ind w:left="1440"/>
        <w:rPr>
          <w:b/>
        </w:rPr>
      </w:pPr>
      <w:r>
        <w:t xml:space="preserve">Phase one of the </w:t>
      </w:r>
      <w:proofErr w:type="gramStart"/>
      <w:r w:rsidR="00FF699D">
        <w:t>Pine Cone</w:t>
      </w:r>
      <w:proofErr w:type="gramEnd"/>
      <w:r>
        <w:t xml:space="preserve"> Park renovation will be completed in </w:t>
      </w:r>
      <w:r w:rsidR="003C3CD0">
        <w:t>2023</w:t>
      </w:r>
      <w:r>
        <w:t>, updating the west four acres of the park with a new playground, restrooms, shelter, walking and jogging paths, community gardens, and a central gathering plaza.</w:t>
      </w:r>
    </w:p>
    <w:p w14:paraId="1230D07B" w14:textId="77777777" w:rsidR="00FF699D" w:rsidRDefault="00FF699D" w:rsidP="00FF699D">
      <w:pPr>
        <w:ind w:left="720"/>
      </w:pPr>
      <w:r>
        <w:sym w:font="Symbol" w:char="F0B7"/>
      </w:r>
      <w:r>
        <w:t xml:space="preserve"> Community Events </w:t>
      </w:r>
    </w:p>
    <w:p w14:paraId="75BAB6F4" w14:textId="77777777" w:rsidR="00FF699D" w:rsidRDefault="00FF699D" w:rsidP="00FF699D">
      <w:pPr>
        <w:ind w:left="1440"/>
      </w:pPr>
      <w:r>
        <w:t xml:space="preserve">The </w:t>
      </w:r>
      <w:proofErr w:type="gramStart"/>
      <w:r>
        <w:t>City</w:t>
      </w:r>
      <w:proofErr w:type="gramEnd"/>
      <w:r>
        <w:t xml:space="preserve"> will continue popular community events such as </w:t>
      </w:r>
      <w:proofErr w:type="spellStart"/>
      <w:r>
        <w:t>Leaffest</w:t>
      </w:r>
      <w:proofErr w:type="spellEnd"/>
      <w:r>
        <w:t xml:space="preserve">, Music in the Parks, </w:t>
      </w:r>
      <w:proofErr w:type="spellStart"/>
      <w:r>
        <w:t>Accorn</w:t>
      </w:r>
      <w:proofErr w:type="spellEnd"/>
      <w:r>
        <w:t xml:space="preserve"> Days, and Cinema Under the Stars. The City will also continue to support new and established artists and musicians through grants and our annual arts awards.</w:t>
      </w:r>
    </w:p>
    <w:p w14:paraId="1709984B" w14:textId="77777777" w:rsidR="00FF699D" w:rsidRPr="00FF699D" w:rsidRDefault="00FF699D" w:rsidP="00FF699D">
      <w:pPr>
        <w:rPr>
          <w:rFonts w:ascii="Arial Black" w:hAnsi="Arial Black"/>
        </w:rPr>
      </w:pPr>
      <w:r w:rsidRPr="00FF699D">
        <w:rPr>
          <w:rFonts w:ascii="Arial Black" w:hAnsi="Arial Black"/>
        </w:rPr>
        <w:t>Other Planning Processes</w:t>
      </w:r>
    </w:p>
    <w:p w14:paraId="66242D37" w14:textId="7ED3BC51" w:rsidR="00FF699D" w:rsidRDefault="00FF699D" w:rsidP="00FF699D">
      <w:r>
        <w:t xml:space="preserve">In addition to the five-year outlook budget model, the capital improvement plan, and the economic development plan, the City of </w:t>
      </w:r>
      <w:r w:rsidR="003C3CD0">
        <w:t>Spruce</w:t>
      </w:r>
      <w:r>
        <w:t xml:space="preserve"> has numerous boards, commissions, and committees that play a role in helping to plan for the City’s future. These include, but are not limited to: Animal Control Board, Council of </w:t>
      </w:r>
      <w:r>
        <w:lastRenderedPageBreak/>
        <w:t>Neighborhoods, Cultural Commission, Diversity Advisory Board, Historical Commission, Housing &amp; Community Development Board, Housing Authority, Human Needs Advisory Committee, Library Board, Lodging Tax Advisory Board, Parks Commission, Planning Commission, Public Facilities District Board, Salary Commission, Senior Center Advisory Board, Transportation Advisory Committee, Tree Committee, Mayor’s Youth Council, Neighborhood Associations and various ad hoc committees. These groups mainly have an advisory role to the City, and were created either by code or assignment.</w:t>
      </w:r>
    </w:p>
    <w:p w14:paraId="14E78B1F" w14:textId="77777777" w:rsidR="00FF699D" w:rsidRPr="00FF699D" w:rsidRDefault="00FF699D" w:rsidP="00FF699D">
      <w:pPr>
        <w:rPr>
          <w:rFonts w:ascii="Arial Black" w:hAnsi="Arial Black"/>
        </w:rPr>
      </w:pPr>
      <w:r w:rsidRPr="00FF699D">
        <w:rPr>
          <w:rFonts w:ascii="Arial Black" w:hAnsi="Arial Black"/>
        </w:rPr>
        <w:t>The Future – Principal Issues Facing the City</w:t>
      </w:r>
    </w:p>
    <w:p w14:paraId="11D0EC92" w14:textId="5732F471" w:rsidR="00FF699D" w:rsidRDefault="00FF699D" w:rsidP="00FF699D">
      <w:r>
        <w:t xml:space="preserve">There are </w:t>
      </w:r>
      <w:proofErr w:type="gramStart"/>
      <w:r>
        <w:t>a number of</w:t>
      </w:r>
      <w:proofErr w:type="gramEnd"/>
      <w:r>
        <w:t xml:space="preserve"> issues facing the City of </w:t>
      </w:r>
      <w:r w:rsidR="003C3CD0">
        <w:t>Spruce</w:t>
      </w:r>
      <w:r>
        <w:t xml:space="preserve"> that present significant challenges or opportunities as we look to future years. These include legislative changes, regulatory changes, world events, and economic factors. This section describes and updates these subjects for events occurring subsequent to the upcoming budget hearings.</w:t>
      </w:r>
    </w:p>
    <w:p w14:paraId="17105B62" w14:textId="77777777" w:rsidR="00FF699D" w:rsidRPr="00FF699D" w:rsidRDefault="00FF699D" w:rsidP="00FF699D">
      <w:pPr>
        <w:rPr>
          <w:b/>
        </w:rPr>
      </w:pPr>
      <w:r w:rsidRPr="00FF699D">
        <w:rPr>
          <w:b/>
        </w:rPr>
        <w:t xml:space="preserve">The Economy </w:t>
      </w:r>
    </w:p>
    <w:p w14:paraId="698E76DF" w14:textId="30A82296" w:rsidR="00FF699D" w:rsidRDefault="00FF699D" w:rsidP="00FF699D">
      <w:r>
        <w:t xml:space="preserve">The Consumer Price Index (CPI) has a significant impact on the City budget. City bargaining unit cost-of-living adjustments and many other City contracts are tied to CPI. The June </w:t>
      </w:r>
      <w:r w:rsidR="003C3CD0">
        <w:t>2021</w:t>
      </w:r>
      <w:r>
        <w:t xml:space="preserve"> to June </w:t>
      </w:r>
      <w:r w:rsidR="003C3CD0">
        <w:t>2022</w:t>
      </w:r>
      <w:r>
        <w:t xml:space="preserve"> CPI percent change resulted in a 2.0% CPI-based wage increase for union employees with current contracts for the </w:t>
      </w:r>
      <w:r w:rsidR="003C3CD0">
        <w:t>2023</w:t>
      </w:r>
      <w:r>
        <w:t xml:space="preserve"> calendar year. Appointive employees also received a 2.0% cost-of-living increase for </w:t>
      </w:r>
      <w:r w:rsidR="003C3CD0">
        <w:t>2023</w:t>
      </w:r>
      <w:r>
        <w:t xml:space="preserve">. The five-year budget assumes low CPI growth for </w:t>
      </w:r>
      <w:r w:rsidR="003C3CD0">
        <w:t>2023</w:t>
      </w:r>
      <w:r>
        <w:t xml:space="preserve"> and a moderate growth in CPI for all future years.</w:t>
      </w:r>
    </w:p>
    <w:p w14:paraId="197332AA" w14:textId="77777777" w:rsidR="004D60B9" w:rsidRPr="004D60B9" w:rsidRDefault="004D60B9" w:rsidP="00FF699D">
      <w:pPr>
        <w:rPr>
          <w:b/>
        </w:rPr>
      </w:pPr>
      <w:r>
        <w:rPr>
          <w:b/>
        </w:rPr>
        <w:t>Woodchuck Industries</w:t>
      </w:r>
      <w:r w:rsidRPr="004D60B9">
        <w:rPr>
          <w:b/>
        </w:rPr>
        <w:t xml:space="preserve"> Production </w:t>
      </w:r>
    </w:p>
    <w:p w14:paraId="736B5B94" w14:textId="01605DCE" w:rsidR="004D60B9" w:rsidRDefault="004D60B9" w:rsidP="00FF699D">
      <w:proofErr w:type="spellStart"/>
      <w:r>
        <w:t>Wookchuck</w:t>
      </w:r>
      <w:proofErr w:type="spellEnd"/>
      <w:r>
        <w:t xml:space="preserve"> Industries delivered its first the</w:t>
      </w:r>
      <w:r w:rsidR="00B358A1">
        <w:t>rmal engine in September of 2012</w:t>
      </w:r>
      <w:r>
        <w:t>. In</w:t>
      </w:r>
      <w:r w:rsidR="00B358A1">
        <w:t xml:space="preserve"> October 2010</w:t>
      </w:r>
      <w:r>
        <w:t xml:space="preserve">, Woodchuck announced that it would set up a second production line for thermal engine in Granite Boys State. Since the founding of the company, virtually all of Woodchucks engines have been assembled in the Pacific Northwest. The City and State intend to work together to ensure that Evergreen State remains the center of thermal engine manufacturing, both nationally and internationally. The </w:t>
      </w:r>
      <w:proofErr w:type="gramStart"/>
      <w:r>
        <w:t>set</w:t>
      </w:r>
      <w:proofErr w:type="gramEnd"/>
      <w:r>
        <w:t xml:space="preserve"> up of the second production line outside of </w:t>
      </w:r>
      <w:r w:rsidR="003C3CD0">
        <w:t>Spruce</w:t>
      </w:r>
      <w:r>
        <w:t xml:space="preserve"> is not expected to have an impact on the current strategic outlook.  Thermal engine production will be at full capacity for many years, contributing to a stable business environment for our community. </w:t>
      </w:r>
    </w:p>
    <w:p w14:paraId="78A522F7" w14:textId="102CA3BF" w:rsidR="004D60B9" w:rsidRDefault="00B358A1" w:rsidP="00FF699D">
      <w:r>
        <w:t>In 2012</w:t>
      </w:r>
      <w:r w:rsidR="004D60B9">
        <w:t xml:space="preserve">, the Pentagon awarded the contract for the U.S. Army Thermal Engine to the Woodchuck Industries. The engines are being assembled in </w:t>
      </w:r>
      <w:r w:rsidR="003C3CD0">
        <w:t>Spruce</w:t>
      </w:r>
      <w:r w:rsidR="004D60B9">
        <w:t xml:space="preserve">, supporting 9,000 jobs in our state, providing $400 million in economic benefits, and supporting some 70 suppliers across the state. The contract provides orders for the first 179 engines. </w:t>
      </w:r>
    </w:p>
    <w:p w14:paraId="723B54A4" w14:textId="40134A6A" w:rsidR="00FF699D" w:rsidRDefault="004D60B9" w:rsidP="00FF699D">
      <w:r>
        <w:t xml:space="preserve">In </w:t>
      </w:r>
      <w:r w:rsidR="003C3CD0">
        <w:t>2021</w:t>
      </w:r>
      <w:r>
        <w:t xml:space="preserve">, Woodchuck initiated a nation-wide competition to select a site to build the new model thermal engines. In response, the legislature voted in a tax incentive package and the Machinists Union approved an eight-year contract to position Evergreen State as the preferred location. Based on those actions, Woodchuck Industries selected </w:t>
      </w:r>
      <w:r w:rsidR="00C56656">
        <w:t xml:space="preserve">the region </w:t>
      </w:r>
      <w:r>
        <w:t xml:space="preserve">as the preferred site for the next generation </w:t>
      </w:r>
      <w:r w:rsidR="00C56656">
        <w:t>of thermal engines</w:t>
      </w:r>
      <w:r>
        <w:t>, securing the presence of thousands of family wage jobs in this area for many years to come.</w:t>
      </w:r>
    </w:p>
    <w:p w14:paraId="692AFB9B" w14:textId="77777777" w:rsidR="00CF13AE" w:rsidRPr="00CF13AE" w:rsidRDefault="00CF13AE" w:rsidP="00FF699D">
      <w:pPr>
        <w:rPr>
          <w:b/>
        </w:rPr>
      </w:pPr>
      <w:r w:rsidRPr="00CF13AE">
        <w:rPr>
          <w:b/>
        </w:rPr>
        <w:t xml:space="preserve">B&amp;O Tax Credit </w:t>
      </w:r>
    </w:p>
    <w:p w14:paraId="31035608" w14:textId="77777777" w:rsidR="00CF13AE" w:rsidRDefault="00CF13AE" w:rsidP="00FF699D">
      <w:r>
        <w:t>In March 201</w:t>
      </w:r>
      <w:r w:rsidR="00B358A1">
        <w:t>1</w:t>
      </w:r>
      <w:r>
        <w:t xml:space="preserve"> the City amended the Business and Occupation tax ordinance by adding a tax credit for expansions that create 50 or more new jobs within four quarters. The taxpayer may claim a credit of one thousand dollars per new position, subject to a lifetime cap of $500,000 per taxpayer. The added positions must remain filled for at least three years.</w:t>
      </w:r>
    </w:p>
    <w:p w14:paraId="680839E2" w14:textId="77777777" w:rsidR="00CF13AE" w:rsidRPr="00CF13AE" w:rsidRDefault="00CF13AE" w:rsidP="00FF699D">
      <w:pPr>
        <w:rPr>
          <w:b/>
        </w:rPr>
      </w:pPr>
      <w:r w:rsidRPr="00CF13AE">
        <w:rPr>
          <w:b/>
        </w:rPr>
        <w:lastRenderedPageBreak/>
        <w:t xml:space="preserve">State of Evergreen/U.S. Government </w:t>
      </w:r>
    </w:p>
    <w:p w14:paraId="1EA19029" w14:textId="3B190667" w:rsidR="00CF13AE" w:rsidRDefault="00CF13AE" w:rsidP="00FF699D">
      <w:r>
        <w:t xml:space="preserve">The City receives various state-shared revenues including Streamlined Sales Tax Mitigation, Criminal Justice Assistance, Liquor Revolving Account, Liquor Excise Tax Account, and Motor Vehicle Fuel Tax; and various public safety operating program grants and some capital grants. The state’s budget constraints have resulted in reduced revenue sharing and fewer available grants for </w:t>
      </w:r>
      <w:r w:rsidR="003C3CD0">
        <w:t>2023</w:t>
      </w:r>
      <w:r>
        <w:t xml:space="preserve">. </w:t>
      </w:r>
    </w:p>
    <w:p w14:paraId="37242E71" w14:textId="77777777" w:rsidR="00CF13AE" w:rsidRDefault="00CF13AE" w:rsidP="00FF699D">
      <w:r>
        <w:t xml:space="preserve">The U.S government also provides grant funding for City programs, primarily in the areas of road construction, transit, and Community Housing Improvement Program (CHIP) funding. Like the state, the federal government has also had to cut back the number and size of grants it makes available to local jurisdictions. </w:t>
      </w:r>
    </w:p>
    <w:p w14:paraId="02166BB6" w14:textId="77777777" w:rsidR="00CF13AE" w:rsidRPr="00FF699D" w:rsidRDefault="00CF13AE" w:rsidP="00FF699D">
      <w:pPr>
        <w:rPr>
          <w:b/>
        </w:rPr>
      </w:pPr>
      <w:r>
        <w:t>Together, the reduction in state shared revenues and state and federal grants will force the City to rely more heavily on already strained local revenues to support operations and capital investments, and ultimately make difficult decisions regarding the City’s ability to maintain current service levels.</w:t>
      </w:r>
    </w:p>
    <w:p w14:paraId="312EE39C" w14:textId="77777777" w:rsidR="00C56AD0" w:rsidRDefault="00C56AD0" w:rsidP="00B9571C">
      <w:pPr>
        <w:ind w:left="1440"/>
      </w:pPr>
    </w:p>
    <w:p w14:paraId="6EDE9DE1" w14:textId="77777777" w:rsidR="00650E7C" w:rsidRDefault="00650E7C" w:rsidP="00650E7C"/>
    <w:sectPr w:rsidR="00650E7C" w:rsidSect="006D1FB8">
      <w:headerReference w:type="default" r:id="rId18"/>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5DB8C" w14:textId="77777777" w:rsidR="002D1DCB" w:rsidRDefault="002D1DCB" w:rsidP="00CD2E15">
      <w:pPr>
        <w:spacing w:after="0" w:line="240" w:lineRule="auto"/>
      </w:pPr>
      <w:r>
        <w:separator/>
      </w:r>
    </w:p>
  </w:endnote>
  <w:endnote w:type="continuationSeparator" w:id="0">
    <w:p w14:paraId="10265675" w14:textId="77777777" w:rsidR="002D1DCB" w:rsidRDefault="002D1DCB" w:rsidP="00CD2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3C70E" w14:textId="77777777" w:rsidR="002D1DCB" w:rsidRDefault="002D1DCB" w:rsidP="00CD2E15">
      <w:pPr>
        <w:spacing w:after="0" w:line="240" w:lineRule="auto"/>
      </w:pPr>
      <w:r>
        <w:separator/>
      </w:r>
    </w:p>
  </w:footnote>
  <w:footnote w:type="continuationSeparator" w:id="0">
    <w:p w14:paraId="5A2C7A84" w14:textId="77777777" w:rsidR="002D1DCB" w:rsidRDefault="002D1DCB" w:rsidP="00CD2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BFCC" w14:textId="0435F6BF" w:rsidR="00706FA3" w:rsidRPr="00706FA3" w:rsidRDefault="00706FA3" w:rsidP="00706FA3">
    <w:pPr>
      <w:pStyle w:val="Header"/>
      <w:jc w:val="right"/>
      <w:rPr>
        <w:rFonts w:ascii="Arial Black" w:hAnsi="Arial Black"/>
      </w:rPr>
    </w:pPr>
    <w:r>
      <w:rPr>
        <w:rFonts w:ascii="Arial Black" w:hAnsi="Arial Black"/>
      </w:rPr>
      <w:t>20</w:t>
    </w:r>
    <w:r w:rsidR="003C3CD0">
      <w:rPr>
        <w:rFonts w:ascii="Arial Black" w:hAnsi="Arial Black"/>
      </w:rPr>
      <w:t>23</w:t>
    </w:r>
    <w:r>
      <w:rPr>
        <w:rFonts w:ascii="Arial Black" w:hAnsi="Arial Black"/>
      </w:rPr>
      <w:t xml:space="preserve"> CITY PROBLEM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C77"/>
    <w:multiLevelType w:val="hybridMultilevel"/>
    <w:tmpl w:val="0F6C1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26DC7"/>
    <w:multiLevelType w:val="hybridMultilevel"/>
    <w:tmpl w:val="42263EEE"/>
    <w:lvl w:ilvl="0" w:tplc="7E96B8C0">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20047DC4"/>
    <w:multiLevelType w:val="hybridMultilevel"/>
    <w:tmpl w:val="1C0C54D2"/>
    <w:lvl w:ilvl="0" w:tplc="7E96B8C0">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7642C5"/>
    <w:multiLevelType w:val="hybridMultilevel"/>
    <w:tmpl w:val="29FE5198"/>
    <w:lvl w:ilvl="0" w:tplc="7E96B8C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F5C4B67"/>
    <w:multiLevelType w:val="hybridMultilevel"/>
    <w:tmpl w:val="E31C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4956772">
    <w:abstractNumId w:val="4"/>
  </w:num>
  <w:num w:numId="2" w16cid:durableId="1145658216">
    <w:abstractNumId w:val="1"/>
  </w:num>
  <w:num w:numId="3" w16cid:durableId="1179125171">
    <w:abstractNumId w:val="2"/>
  </w:num>
  <w:num w:numId="4" w16cid:durableId="2019506436">
    <w:abstractNumId w:val="0"/>
  </w:num>
  <w:num w:numId="5" w16cid:durableId="1331981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2E15"/>
    <w:rsid w:val="00002076"/>
    <w:rsid w:val="00002D76"/>
    <w:rsid w:val="00002E8D"/>
    <w:rsid w:val="00004F4E"/>
    <w:rsid w:val="000111DB"/>
    <w:rsid w:val="00011622"/>
    <w:rsid w:val="0001495E"/>
    <w:rsid w:val="00016D8D"/>
    <w:rsid w:val="00016E65"/>
    <w:rsid w:val="000212F9"/>
    <w:rsid w:val="00027543"/>
    <w:rsid w:val="00033DCD"/>
    <w:rsid w:val="00034724"/>
    <w:rsid w:val="000348D3"/>
    <w:rsid w:val="0003656B"/>
    <w:rsid w:val="00036831"/>
    <w:rsid w:val="00037415"/>
    <w:rsid w:val="000463EB"/>
    <w:rsid w:val="000477E8"/>
    <w:rsid w:val="000540F0"/>
    <w:rsid w:val="00056941"/>
    <w:rsid w:val="00057DB9"/>
    <w:rsid w:val="0006316C"/>
    <w:rsid w:val="00063E0C"/>
    <w:rsid w:val="00070785"/>
    <w:rsid w:val="00071777"/>
    <w:rsid w:val="000717B5"/>
    <w:rsid w:val="00077761"/>
    <w:rsid w:val="000813FC"/>
    <w:rsid w:val="00081E0A"/>
    <w:rsid w:val="00086BE4"/>
    <w:rsid w:val="000919CD"/>
    <w:rsid w:val="00096CEF"/>
    <w:rsid w:val="000A3340"/>
    <w:rsid w:val="000B07F2"/>
    <w:rsid w:val="000B19B2"/>
    <w:rsid w:val="000B3326"/>
    <w:rsid w:val="000B562C"/>
    <w:rsid w:val="000B741C"/>
    <w:rsid w:val="000C04FF"/>
    <w:rsid w:val="000C2118"/>
    <w:rsid w:val="000C3639"/>
    <w:rsid w:val="000D1FFC"/>
    <w:rsid w:val="000D27CA"/>
    <w:rsid w:val="000E1194"/>
    <w:rsid w:val="000F1DA9"/>
    <w:rsid w:val="000F23F3"/>
    <w:rsid w:val="000F4CD8"/>
    <w:rsid w:val="000F4EEC"/>
    <w:rsid w:val="000F5E34"/>
    <w:rsid w:val="000F75A2"/>
    <w:rsid w:val="00100525"/>
    <w:rsid w:val="00104F4F"/>
    <w:rsid w:val="0010644D"/>
    <w:rsid w:val="00110AC0"/>
    <w:rsid w:val="00112BE7"/>
    <w:rsid w:val="00113580"/>
    <w:rsid w:val="001154AF"/>
    <w:rsid w:val="00115CFB"/>
    <w:rsid w:val="00116FE0"/>
    <w:rsid w:val="00117596"/>
    <w:rsid w:val="00120106"/>
    <w:rsid w:val="00120654"/>
    <w:rsid w:val="00124129"/>
    <w:rsid w:val="0013357B"/>
    <w:rsid w:val="00140AD2"/>
    <w:rsid w:val="00144A41"/>
    <w:rsid w:val="00146992"/>
    <w:rsid w:val="001514FB"/>
    <w:rsid w:val="00152019"/>
    <w:rsid w:val="00155DAD"/>
    <w:rsid w:val="00155E4E"/>
    <w:rsid w:val="001564B9"/>
    <w:rsid w:val="001569ED"/>
    <w:rsid w:val="00162296"/>
    <w:rsid w:val="00167ED2"/>
    <w:rsid w:val="00173784"/>
    <w:rsid w:val="001751FA"/>
    <w:rsid w:val="00177181"/>
    <w:rsid w:val="00181ECA"/>
    <w:rsid w:val="00182E9D"/>
    <w:rsid w:val="00190639"/>
    <w:rsid w:val="00190A8E"/>
    <w:rsid w:val="00193D1B"/>
    <w:rsid w:val="00194260"/>
    <w:rsid w:val="00196A43"/>
    <w:rsid w:val="00197B98"/>
    <w:rsid w:val="001A2DC4"/>
    <w:rsid w:val="001A3485"/>
    <w:rsid w:val="001A52AD"/>
    <w:rsid w:val="001A6409"/>
    <w:rsid w:val="001A7173"/>
    <w:rsid w:val="001A7E46"/>
    <w:rsid w:val="001B17C6"/>
    <w:rsid w:val="001B4B98"/>
    <w:rsid w:val="001B51FA"/>
    <w:rsid w:val="001C34C6"/>
    <w:rsid w:val="001C3B2B"/>
    <w:rsid w:val="001C7AEF"/>
    <w:rsid w:val="001D0A7D"/>
    <w:rsid w:val="001D0BB3"/>
    <w:rsid w:val="001D3625"/>
    <w:rsid w:val="001D49B1"/>
    <w:rsid w:val="001D5881"/>
    <w:rsid w:val="001D6D71"/>
    <w:rsid w:val="001E51D2"/>
    <w:rsid w:val="001E5DAE"/>
    <w:rsid w:val="001E67BB"/>
    <w:rsid w:val="001E7D6E"/>
    <w:rsid w:val="001F2B19"/>
    <w:rsid w:val="001F34AD"/>
    <w:rsid w:val="001F566B"/>
    <w:rsid w:val="001F72A3"/>
    <w:rsid w:val="001F7AB0"/>
    <w:rsid w:val="00200CC2"/>
    <w:rsid w:val="00203537"/>
    <w:rsid w:val="00207360"/>
    <w:rsid w:val="00211386"/>
    <w:rsid w:val="00211514"/>
    <w:rsid w:val="00215660"/>
    <w:rsid w:val="002161D5"/>
    <w:rsid w:val="002163AE"/>
    <w:rsid w:val="0023319F"/>
    <w:rsid w:val="0023482E"/>
    <w:rsid w:val="002351CD"/>
    <w:rsid w:val="0023578D"/>
    <w:rsid w:val="00245AE1"/>
    <w:rsid w:val="00250C21"/>
    <w:rsid w:val="0025569F"/>
    <w:rsid w:val="002632E3"/>
    <w:rsid w:val="002665E3"/>
    <w:rsid w:val="00267BD5"/>
    <w:rsid w:val="002714B9"/>
    <w:rsid w:val="00272561"/>
    <w:rsid w:val="00276577"/>
    <w:rsid w:val="00277F37"/>
    <w:rsid w:val="00283D36"/>
    <w:rsid w:val="00286817"/>
    <w:rsid w:val="00293A0A"/>
    <w:rsid w:val="0029771B"/>
    <w:rsid w:val="002A0603"/>
    <w:rsid w:val="002A1638"/>
    <w:rsid w:val="002A5EB0"/>
    <w:rsid w:val="002A7B98"/>
    <w:rsid w:val="002B4453"/>
    <w:rsid w:val="002B4500"/>
    <w:rsid w:val="002D1DCB"/>
    <w:rsid w:val="002D3A23"/>
    <w:rsid w:val="002D5150"/>
    <w:rsid w:val="002E0579"/>
    <w:rsid w:val="002E72B9"/>
    <w:rsid w:val="002E76F1"/>
    <w:rsid w:val="002F13E5"/>
    <w:rsid w:val="002F1B51"/>
    <w:rsid w:val="002F3393"/>
    <w:rsid w:val="002F72B2"/>
    <w:rsid w:val="0030090A"/>
    <w:rsid w:val="0030324A"/>
    <w:rsid w:val="00305C52"/>
    <w:rsid w:val="003110B4"/>
    <w:rsid w:val="00314200"/>
    <w:rsid w:val="00325F16"/>
    <w:rsid w:val="0033447B"/>
    <w:rsid w:val="0033524F"/>
    <w:rsid w:val="00336065"/>
    <w:rsid w:val="003414F5"/>
    <w:rsid w:val="00342450"/>
    <w:rsid w:val="00350997"/>
    <w:rsid w:val="003567CD"/>
    <w:rsid w:val="00364E97"/>
    <w:rsid w:val="00383883"/>
    <w:rsid w:val="00393456"/>
    <w:rsid w:val="003957A9"/>
    <w:rsid w:val="003A1874"/>
    <w:rsid w:val="003A3434"/>
    <w:rsid w:val="003A3DBA"/>
    <w:rsid w:val="003A419B"/>
    <w:rsid w:val="003A564A"/>
    <w:rsid w:val="003B03F2"/>
    <w:rsid w:val="003C3CD0"/>
    <w:rsid w:val="003C46ED"/>
    <w:rsid w:val="003C5904"/>
    <w:rsid w:val="003C6930"/>
    <w:rsid w:val="003C7B3F"/>
    <w:rsid w:val="003D4284"/>
    <w:rsid w:val="003E08E7"/>
    <w:rsid w:val="003E25E5"/>
    <w:rsid w:val="00405396"/>
    <w:rsid w:val="004059AB"/>
    <w:rsid w:val="00417023"/>
    <w:rsid w:val="00423079"/>
    <w:rsid w:val="004273B4"/>
    <w:rsid w:val="004324E1"/>
    <w:rsid w:val="004427CB"/>
    <w:rsid w:val="00444DC5"/>
    <w:rsid w:val="00447328"/>
    <w:rsid w:val="004473CA"/>
    <w:rsid w:val="00455F85"/>
    <w:rsid w:val="00456A30"/>
    <w:rsid w:val="00456BB8"/>
    <w:rsid w:val="004571C6"/>
    <w:rsid w:val="00467F5D"/>
    <w:rsid w:val="0047106F"/>
    <w:rsid w:val="00475F34"/>
    <w:rsid w:val="00485467"/>
    <w:rsid w:val="00493FBF"/>
    <w:rsid w:val="004945B1"/>
    <w:rsid w:val="00497299"/>
    <w:rsid w:val="004A3020"/>
    <w:rsid w:val="004A4F07"/>
    <w:rsid w:val="004A5BF6"/>
    <w:rsid w:val="004A61ED"/>
    <w:rsid w:val="004A6F61"/>
    <w:rsid w:val="004C0E6A"/>
    <w:rsid w:val="004C14B9"/>
    <w:rsid w:val="004C1AA0"/>
    <w:rsid w:val="004C350E"/>
    <w:rsid w:val="004C40E8"/>
    <w:rsid w:val="004C4C05"/>
    <w:rsid w:val="004D60B9"/>
    <w:rsid w:val="004D7EAB"/>
    <w:rsid w:val="004E0E8C"/>
    <w:rsid w:val="004E6981"/>
    <w:rsid w:val="004F021E"/>
    <w:rsid w:val="004F27B8"/>
    <w:rsid w:val="004F4BBD"/>
    <w:rsid w:val="004F5B05"/>
    <w:rsid w:val="00507313"/>
    <w:rsid w:val="0051080F"/>
    <w:rsid w:val="00511F7C"/>
    <w:rsid w:val="00517DF0"/>
    <w:rsid w:val="0052087E"/>
    <w:rsid w:val="00520E04"/>
    <w:rsid w:val="00526044"/>
    <w:rsid w:val="005268CC"/>
    <w:rsid w:val="005300E8"/>
    <w:rsid w:val="005314E2"/>
    <w:rsid w:val="00533B50"/>
    <w:rsid w:val="00541167"/>
    <w:rsid w:val="00553AE7"/>
    <w:rsid w:val="0055442D"/>
    <w:rsid w:val="00557230"/>
    <w:rsid w:val="00563477"/>
    <w:rsid w:val="00570B90"/>
    <w:rsid w:val="0057743B"/>
    <w:rsid w:val="00580BF4"/>
    <w:rsid w:val="005869B2"/>
    <w:rsid w:val="005876B9"/>
    <w:rsid w:val="00591159"/>
    <w:rsid w:val="00591C28"/>
    <w:rsid w:val="00593511"/>
    <w:rsid w:val="0059445C"/>
    <w:rsid w:val="005A1A1B"/>
    <w:rsid w:val="005A627B"/>
    <w:rsid w:val="005A627E"/>
    <w:rsid w:val="005A773A"/>
    <w:rsid w:val="005B0A31"/>
    <w:rsid w:val="005B111E"/>
    <w:rsid w:val="005B1454"/>
    <w:rsid w:val="005B2BB9"/>
    <w:rsid w:val="005B2F4C"/>
    <w:rsid w:val="005C60FA"/>
    <w:rsid w:val="005D4305"/>
    <w:rsid w:val="005E1236"/>
    <w:rsid w:val="005E79EC"/>
    <w:rsid w:val="005E7B27"/>
    <w:rsid w:val="005F118A"/>
    <w:rsid w:val="005F14D4"/>
    <w:rsid w:val="005F533A"/>
    <w:rsid w:val="005F6EEF"/>
    <w:rsid w:val="005F78E8"/>
    <w:rsid w:val="00601B77"/>
    <w:rsid w:val="00603B9D"/>
    <w:rsid w:val="00603E8B"/>
    <w:rsid w:val="00605EFE"/>
    <w:rsid w:val="006103CD"/>
    <w:rsid w:val="00617002"/>
    <w:rsid w:val="00620691"/>
    <w:rsid w:val="00620EB1"/>
    <w:rsid w:val="00621953"/>
    <w:rsid w:val="00624461"/>
    <w:rsid w:val="0063130B"/>
    <w:rsid w:val="00631C74"/>
    <w:rsid w:val="00631CDD"/>
    <w:rsid w:val="006329EC"/>
    <w:rsid w:val="006356F9"/>
    <w:rsid w:val="00650559"/>
    <w:rsid w:val="00650E7C"/>
    <w:rsid w:val="00652AB9"/>
    <w:rsid w:val="00653493"/>
    <w:rsid w:val="00654346"/>
    <w:rsid w:val="0065568C"/>
    <w:rsid w:val="006563C0"/>
    <w:rsid w:val="00661C88"/>
    <w:rsid w:val="00663A9C"/>
    <w:rsid w:val="006673D6"/>
    <w:rsid w:val="00671B6F"/>
    <w:rsid w:val="00674478"/>
    <w:rsid w:val="006744B3"/>
    <w:rsid w:val="00674551"/>
    <w:rsid w:val="00674E19"/>
    <w:rsid w:val="006768A9"/>
    <w:rsid w:val="00680B99"/>
    <w:rsid w:val="006820EB"/>
    <w:rsid w:val="00683028"/>
    <w:rsid w:val="00685CAE"/>
    <w:rsid w:val="006864BA"/>
    <w:rsid w:val="006902EB"/>
    <w:rsid w:val="00694045"/>
    <w:rsid w:val="00695967"/>
    <w:rsid w:val="006A1C04"/>
    <w:rsid w:val="006A48E2"/>
    <w:rsid w:val="006A7806"/>
    <w:rsid w:val="006B17B7"/>
    <w:rsid w:val="006B53B9"/>
    <w:rsid w:val="006D1AA7"/>
    <w:rsid w:val="006D1FB8"/>
    <w:rsid w:val="006D5E9E"/>
    <w:rsid w:val="006D6F6C"/>
    <w:rsid w:val="006D71D8"/>
    <w:rsid w:val="006D7E46"/>
    <w:rsid w:val="006E07B9"/>
    <w:rsid w:val="006E1DAB"/>
    <w:rsid w:val="006E6884"/>
    <w:rsid w:val="006F05A6"/>
    <w:rsid w:val="00704CFE"/>
    <w:rsid w:val="007053F7"/>
    <w:rsid w:val="007067D7"/>
    <w:rsid w:val="00706FA3"/>
    <w:rsid w:val="0071059F"/>
    <w:rsid w:val="00717341"/>
    <w:rsid w:val="00717712"/>
    <w:rsid w:val="007206B5"/>
    <w:rsid w:val="00721729"/>
    <w:rsid w:val="00722725"/>
    <w:rsid w:val="00723AF1"/>
    <w:rsid w:val="0073237F"/>
    <w:rsid w:val="00737658"/>
    <w:rsid w:val="00741AAF"/>
    <w:rsid w:val="00743B7D"/>
    <w:rsid w:val="00745B0B"/>
    <w:rsid w:val="007523C8"/>
    <w:rsid w:val="00760DED"/>
    <w:rsid w:val="00767C24"/>
    <w:rsid w:val="007771B0"/>
    <w:rsid w:val="00780C94"/>
    <w:rsid w:val="00781B0F"/>
    <w:rsid w:val="00782018"/>
    <w:rsid w:val="0078464A"/>
    <w:rsid w:val="00784760"/>
    <w:rsid w:val="00794AB3"/>
    <w:rsid w:val="007A31CA"/>
    <w:rsid w:val="007B0D1C"/>
    <w:rsid w:val="007B2569"/>
    <w:rsid w:val="007B31F0"/>
    <w:rsid w:val="007B3808"/>
    <w:rsid w:val="007B79BC"/>
    <w:rsid w:val="007C3E1B"/>
    <w:rsid w:val="007C75F8"/>
    <w:rsid w:val="007C7881"/>
    <w:rsid w:val="007D25B5"/>
    <w:rsid w:val="007D3A06"/>
    <w:rsid w:val="007D4755"/>
    <w:rsid w:val="007D48C1"/>
    <w:rsid w:val="007D596A"/>
    <w:rsid w:val="007D79CE"/>
    <w:rsid w:val="007E14CD"/>
    <w:rsid w:val="007E47D3"/>
    <w:rsid w:val="007E6680"/>
    <w:rsid w:val="007E79F5"/>
    <w:rsid w:val="007F1D1B"/>
    <w:rsid w:val="007F2432"/>
    <w:rsid w:val="007F3496"/>
    <w:rsid w:val="007F59AA"/>
    <w:rsid w:val="007F5A19"/>
    <w:rsid w:val="00804DEF"/>
    <w:rsid w:val="008077E4"/>
    <w:rsid w:val="008110CA"/>
    <w:rsid w:val="0081740A"/>
    <w:rsid w:val="0082085A"/>
    <w:rsid w:val="00823B5D"/>
    <w:rsid w:val="00823CD3"/>
    <w:rsid w:val="00823DE9"/>
    <w:rsid w:val="00827839"/>
    <w:rsid w:val="008444FB"/>
    <w:rsid w:val="00845975"/>
    <w:rsid w:val="00846BC8"/>
    <w:rsid w:val="0085010E"/>
    <w:rsid w:val="008533C4"/>
    <w:rsid w:val="00856322"/>
    <w:rsid w:val="0085675F"/>
    <w:rsid w:val="00864380"/>
    <w:rsid w:val="00864971"/>
    <w:rsid w:val="0086497C"/>
    <w:rsid w:val="0086595D"/>
    <w:rsid w:val="00867E5A"/>
    <w:rsid w:val="00867EC3"/>
    <w:rsid w:val="00873EF4"/>
    <w:rsid w:val="0087693A"/>
    <w:rsid w:val="00880247"/>
    <w:rsid w:val="00881EB5"/>
    <w:rsid w:val="00884F5D"/>
    <w:rsid w:val="00885584"/>
    <w:rsid w:val="0089542B"/>
    <w:rsid w:val="008A05B9"/>
    <w:rsid w:val="008A5E83"/>
    <w:rsid w:val="008B6487"/>
    <w:rsid w:val="008B7309"/>
    <w:rsid w:val="008B7B6F"/>
    <w:rsid w:val="008C3EAE"/>
    <w:rsid w:val="008C4D6F"/>
    <w:rsid w:val="008C6513"/>
    <w:rsid w:val="008D0A22"/>
    <w:rsid w:val="008D19FB"/>
    <w:rsid w:val="008D7DF5"/>
    <w:rsid w:val="008E005D"/>
    <w:rsid w:val="008E17BB"/>
    <w:rsid w:val="008E3B36"/>
    <w:rsid w:val="008E62A3"/>
    <w:rsid w:val="008F144C"/>
    <w:rsid w:val="008F6338"/>
    <w:rsid w:val="0090308F"/>
    <w:rsid w:val="00922401"/>
    <w:rsid w:val="0092299B"/>
    <w:rsid w:val="0092440F"/>
    <w:rsid w:val="009277B4"/>
    <w:rsid w:val="0093169D"/>
    <w:rsid w:val="0093540B"/>
    <w:rsid w:val="009354BC"/>
    <w:rsid w:val="00942B70"/>
    <w:rsid w:val="009440D5"/>
    <w:rsid w:val="0094544C"/>
    <w:rsid w:val="00951044"/>
    <w:rsid w:val="0095541F"/>
    <w:rsid w:val="009605F1"/>
    <w:rsid w:val="00960934"/>
    <w:rsid w:val="0096256F"/>
    <w:rsid w:val="00965767"/>
    <w:rsid w:val="00967659"/>
    <w:rsid w:val="009773BE"/>
    <w:rsid w:val="009817DD"/>
    <w:rsid w:val="00983882"/>
    <w:rsid w:val="00983EB3"/>
    <w:rsid w:val="0098435B"/>
    <w:rsid w:val="009845FC"/>
    <w:rsid w:val="00985998"/>
    <w:rsid w:val="00990EA1"/>
    <w:rsid w:val="00993476"/>
    <w:rsid w:val="00994537"/>
    <w:rsid w:val="00994C51"/>
    <w:rsid w:val="009A0653"/>
    <w:rsid w:val="009A0A8D"/>
    <w:rsid w:val="009B2497"/>
    <w:rsid w:val="009B29DF"/>
    <w:rsid w:val="009B3576"/>
    <w:rsid w:val="009B443F"/>
    <w:rsid w:val="009C2064"/>
    <w:rsid w:val="009C37D6"/>
    <w:rsid w:val="009C4B5D"/>
    <w:rsid w:val="009C4E90"/>
    <w:rsid w:val="009C52A7"/>
    <w:rsid w:val="009D77D1"/>
    <w:rsid w:val="009E05A2"/>
    <w:rsid w:val="009E1D0C"/>
    <w:rsid w:val="009E1DFC"/>
    <w:rsid w:val="009E43CE"/>
    <w:rsid w:val="009F61AA"/>
    <w:rsid w:val="009F7F6E"/>
    <w:rsid w:val="00A00AEC"/>
    <w:rsid w:val="00A01A8F"/>
    <w:rsid w:val="00A02028"/>
    <w:rsid w:val="00A02849"/>
    <w:rsid w:val="00A036A8"/>
    <w:rsid w:val="00A05BE7"/>
    <w:rsid w:val="00A11ACF"/>
    <w:rsid w:val="00A13FB8"/>
    <w:rsid w:val="00A16267"/>
    <w:rsid w:val="00A16BF1"/>
    <w:rsid w:val="00A17EF6"/>
    <w:rsid w:val="00A24AF1"/>
    <w:rsid w:val="00A27C54"/>
    <w:rsid w:val="00A27EC0"/>
    <w:rsid w:val="00A31E9A"/>
    <w:rsid w:val="00A3741B"/>
    <w:rsid w:val="00A378DC"/>
    <w:rsid w:val="00A471AE"/>
    <w:rsid w:val="00A50487"/>
    <w:rsid w:val="00A61742"/>
    <w:rsid w:val="00A617C1"/>
    <w:rsid w:val="00A66711"/>
    <w:rsid w:val="00A66DDE"/>
    <w:rsid w:val="00A70729"/>
    <w:rsid w:val="00A77C6F"/>
    <w:rsid w:val="00A80B97"/>
    <w:rsid w:val="00A86A9E"/>
    <w:rsid w:val="00A94483"/>
    <w:rsid w:val="00A952C7"/>
    <w:rsid w:val="00A965BB"/>
    <w:rsid w:val="00A97584"/>
    <w:rsid w:val="00AA081C"/>
    <w:rsid w:val="00AA2AA8"/>
    <w:rsid w:val="00AA3E38"/>
    <w:rsid w:val="00AA408F"/>
    <w:rsid w:val="00AB301E"/>
    <w:rsid w:val="00AC028B"/>
    <w:rsid w:val="00AC2F57"/>
    <w:rsid w:val="00AD27D4"/>
    <w:rsid w:val="00AE1489"/>
    <w:rsid w:val="00AE235D"/>
    <w:rsid w:val="00AE6253"/>
    <w:rsid w:val="00AF3441"/>
    <w:rsid w:val="00AF718A"/>
    <w:rsid w:val="00B04A69"/>
    <w:rsid w:val="00B0500F"/>
    <w:rsid w:val="00B050FF"/>
    <w:rsid w:val="00B078B0"/>
    <w:rsid w:val="00B1251C"/>
    <w:rsid w:val="00B13FD2"/>
    <w:rsid w:val="00B14B47"/>
    <w:rsid w:val="00B15302"/>
    <w:rsid w:val="00B15D14"/>
    <w:rsid w:val="00B209AB"/>
    <w:rsid w:val="00B21FEF"/>
    <w:rsid w:val="00B228F1"/>
    <w:rsid w:val="00B23557"/>
    <w:rsid w:val="00B244A5"/>
    <w:rsid w:val="00B3185B"/>
    <w:rsid w:val="00B358A1"/>
    <w:rsid w:val="00B3787E"/>
    <w:rsid w:val="00B37DFC"/>
    <w:rsid w:val="00B42A1E"/>
    <w:rsid w:val="00B4467C"/>
    <w:rsid w:val="00B46898"/>
    <w:rsid w:val="00B47B75"/>
    <w:rsid w:val="00B5177E"/>
    <w:rsid w:val="00B55348"/>
    <w:rsid w:val="00B605D1"/>
    <w:rsid w:val="00B70186"/>
    <w:rsid w:val="00B72306"/>
    <w:rsid w:val="00B76371"/>
    <w:rsid w:val="00B76C56"/>
    <w:rsid w:val="00B9571C"/>
    <w:rsid w:val="00B95C9C"/>
    <w:rsid w:val="00B960F2"/>
    <w:rsid w:val="00B97E27"/>
    <w:rsid w:val="00BA1014"/>
    <w:rsid w:val="00BA187C"/>
    <w:rsid w:val="00BA5566"/>
    <w:rsid w:val="00BA792F"/>
    <w:rsid w:val="00BB1F8E"/>
    <w:rsid w:val="00BB365F"/>
    <w:rsid w:val="00BB78A9"/>
    <w:rsid w:val="00BC241D"/>
    <w:rsid w:val="00BC4C1B"/>
    <w:rsid w:val="00BC7B39"/>
    <w:rsid w:val="00BD5258"/>
    <w:rsid w:val="00BD5BDB"/>
    <w:rsid w:val="00BD71D3"/>
    <w:rsid w:val="00BE0C8E"/>
    <w:rsid w:val="00BE2C80"/>
    <w:rsid w:val="00BE34AB"/>
    <w:rsid w:val="00BE34D6"/>
    <w:rsid w:val="00BE4DBC"/>
    <w:rsid w:val="00BF3920"/>
    <w:rsid w:val="00BF70AD"/>
    <w:rsid w:val="00C057EC"/>
    <w:rsid w:val="00C07CDA"/>
    <w:rsid w:val="00C07D03"/>
    <w:rsid w:val="00C10059"/>
    <w:rsid w:val="00C14A73"/>
    <w:rsid w:val="00C15D9B"/>
    <w:rsid w:val="00C201AE"/>
    <w:rsid w:val="00C20E33"/>
    <w:rsid w:val="00C2421F"/>
    <w:rsid w:val="00C25A6B"/>
    <w:rsid w:val="00C3095A"/>
    <w:rsid w:val="00C3281B"/>
    <w:rsid w:val="00C3420A"/>
    <w:rsid w:val="00C350DD"/>
    <w:rsid w:val="00C35511"/>
    <w:rsid w:val="00C406DC"/>
    <w:rsid w:val="00C416A1"/>
    <w:rsid w:val="00C439CE"/>
    <w:rsid w:val="00C506C6"/>
    <w:rsid w:val="00C518BA"/>
    <w:rsid w:val="00C53048"/>
    <w:rsid w:val="00C55EA9"/>
    <w:rsid w:val="00C5618B"/>
    <w:rsid w:val="00C56656"/>
    <w:rsid w:val="00C56AD0"/>
    <w:rsid w:val="00C603C2"/>
    <w:rsid w:val="00C621E1"/>
    <w:rsid w:val="00C71FE1"/>
    <w:rsid w:val="00C7405F"/>
    <w:rsid w:val="00C74B90"/>
    <w:rsid w:val="00C77A87"/>
    <w:rsid w:val="00C826CA"/>
    <w:rsid w:val="00C87BF1"/>
    <w:rsid w:val="00C95285"/>
    <w:rsid w:val="00CB49F9"/>
    <w:rsid w:val="00CB5D26"/>
    <w:rsid w:val="00CC47F5"/>
    <w:rsid w:val="00CC6A20"/>
    <w:rsid w:val="00CD2E15"/>
    <w:rsid w:val="00CD5E3D"/>
    <w:rsid w:val="00CD6512"/>
    <w:rsid w:val="00CE40B3"/>
    <w:rsid w:val="00CF0FEF"/>
    <w:rsid w:val="00CF13AE"/>
    <w:rsid w:val="00CF3BD7"/>
    <w:rsid w:val="00CF3EDB"/>
    <w:rsid w:val="00CF56BD"/>
    <w:rsid w:val="00D01689"/>
    <w:rsid w:val="00D03C94"/>
    <w:rsid w:val="00D105FA"/>
    <w:rsid w:val="00D1747A"/>
    <w:rsid w:val="00D20333"/>
    <w:rsid w:val="00D23EFA"/>
    <w:rsid w:val="00D250DA"/>
    <w:rsid w:val="00D25A71"/>
    <w:rsid w:val="00D271E5"/>
    <w:rsid w:val="00D305FC"/>
    <w:rsid w:val="00D35015"/>
    <w:rsid w:val="00D37BA5"/>
    <w:rsid w:val="00D42C31"/>
    <w:rsid w:val="00D437FB"/>
    <w:rsid w:val="00D43B8A"/>
    <w:rsid w:val="00D51745"/>
    <w:rsid w:val="00D54C48"/>
    <w:rsid w:val="00D55B43"/>
    <w:rsid w:val="00D55BAB"/>
    <w:rsid w:val="00D5601B"/>
    <w:rsid w:val="00D57B1B"/>
    <w:rsid w:val="00D62446"/>
    <w:rsid w:val="00D63053"/>
    <w:rsid w:val="00D63EC7"/>
    <w:rsid w:val="00D7151D"/>
    <w:rsid w:val="00D718D6"/>
    <w:rsid w:val="00D77267"/>
    <w:rsid w:val="00D83A7B"/>
    <w:rsid w:val="00D8540A"/>
    <w:rsid w:val="00D8766F"/>
    <w:rsid w:val="00D9147E"/>
    <w:rsid w:val="00D921C8"/>
    <w:rsid w:val="00D92882"/>
    <w:rsid w:val="00D92F40"/>
    <w:rsid w:val="00D94197"/>
    <w:rsid w:val="00D941E7"/>
    <w:rsid w:val="00D95295"/>
    <w:rsid w:val="00D9568C"/>
    <w:rsid w:val="00D97D56"/>
    <w:rsid w:val="00DA3276"/>
    <w:rsid w:val="00DA7C22"/>
    <w:rsid w:val="00DB65D6"/>
    <w:rsid w:val="00DB6917"/>
    <w:rsid w:val="00DB7733"/>
    <w:rsid w:val="00DC4D0A"/>
    <w:rsid w:val="00DC4D23"/>
    <w:rsid w:val="00DC5C83"/>
    <w:rsid w:val="00DC7AC2"/>
    <w:rsid w:val="00DD2D41"/>
    <w:rsid w:val="00DD3AAB"/>
    <w:rsid w:val="00DE021A"/>
    <w:rsid w:val="00DE29E2"/>
    <w:rsid w:val="00DF5633"/>
    <w:rsid w:val="00E03210"/>
    <w:rsid w:val="00E04929"/>
    <w:rsid w:val="00E13924"/>
    <w:rsid w:val="00E178DA"/>
    <w:rsid w:val="00E2028D"/>
    <w:rsid w:val="00E218A9"/>
    <w:rsid w:val="00E23508"/>
    <w:rsid w:val="00E2523C"/>
    <w:rsid w:val="00E27304"/>
    <w:rsid w:val="00E31033"/>
    <w:rsid w:val="00E31FBA"/>
    <w:rsid w:val="00E3372F"/>
    <w:rsid w:val="00E33B35"/>
    <w:rsid w:val="00E34D1D"/>
    <w:rsid w:val="00E403BF"/>
    <w:rsid w:val="00E41800"/>
    <w:rsid w:val="00E41CFA"/>
    <w:rsid w:val="00E41E75"/>
    <w:rsid w:val="00E44732"/>
    <w:rsid w:val="00E44982"/>
    <w:rsid w:val="00E52DC1"/>
    <w:rsid w:val="00E54153"/>
    <w:rsid w:val="00E552D0"/>
    <w:rsid w:val="00E5546A"/>
    <w:rsid w:val="00E577BC"/>
    <w:rsid w:val="00E64A54"/>
    <w:rsid w:val="00E66D0A"/>
    <w:rsid w:val="00E677E4"/>
    <w:rsid w:val="00E7000B"/>
    <w:rsid w:val="00E84F78"/>
    <w:rsid w:val="00EA0C8C"/>
    <w:rsid w:val="00EA59F0"/>
    <w:rsid w:val="00EB44D6"/>
    <w:rsid w:val="00ED0ADA"/>
    <w:rsid w:val="00ED1934"/>
    <w:rsid w:val="00ED63CD"/>
    <w:rsid w:val="00ED71C2"/>
    <w:rsid w:val="00ED7E8B"/>
    <w:rsid w:val="00EE0749"/>
    <w:rsid w:val="00EF0EF3"/>
    <w:rsid w:val="00EF26DF"/>
    <w:rsid w:val="00F00547"/>
    <w:rsid w:val="00F01D39"/>
    <w:rsid w:val="00F054CB"/>
    <w:rsid w:val="00F1025F"/>
    <w:rsid w:val="00F13F29"/>
    <w:rsid w:val="00F1757F"/>
    <w:rsid w:val="00F221AE"/>
    <w:rsid w:val="00F27CD9"/>
    <w:rsid w:val="00F31203"/>
    <w:rsid w:val="00F35F6C"/>
    <w:rsid w:val="00F40669"/>
    <w:rsid w:val="00F41A57"/>
    <w:rsid w:val="00F42FEA"/>
    <w:rsid w:val="00F4381D"/>
    <w:rsid w:val="00F454A1"/>
    <w:rsid w:val="00F56E5C"/>
    <w:rsid w:val="00F6672F"/>
    <w:rsid w:val="00F6745A"/>
    <w:rsid w:val="00F71C15"/>
    <w:rsid w:val="00F71C16"/>
    <w:rsid w:val="00F7276E"/>
    <w:rsid w:val="00F753B1"/>
    <w:rsid w:val="00F75F94"/>
    <w:rsid w:val="00F76B32"/>
    <w:rsid w:val="00F77AAB"/>
    <w:rsid w:val="00F82615"/>
    <w:rsid w:val="00F82AAC"/>
    <w:rsid w:val="00F84AD6"/>
    <w:rsid w:val="00F85766"/>
    <w:rsid w:val="00F865FF"/>
    <w:rsid w:val="00F86BEF"/>
    <w:rsid w:val="00F9791A"/>
    <w:rsid w:val="00FA0623"/>
    <w:rsid w:val="00FA0D3A"/>
    <w:rsid w:val="00FA2C82"/>
    <w:rsid w:val="00FA378E"/>
    <w:rsid w:val="00FA6718"/>
    <w:rsid w:val="00FA6825"/>
    <w:rsid w:val="00FB1808"/>
    <w:rsid w:val="00FB4A44"/>
    <w:rsid w:val="00FB51F5"/>
    <w:rsid w:val="00FC1744"/>
    <w:rsid w:val="00FC2EB7"/>
    <w:rsid w:val="00FC3E9A"/>
    <w:rsid w:val="00FC53BD"/>
    <w:rsid w:val="00FC7D81"/>
    <w:rsid w:val="00FD0DF8"/>
    <w:rsid w:val="00FD4AC4"/>
    <w:rsid w:val="00FD4D6B"/>
    <w:rsid w:val="00FD5293"/>
    <w:rsid w:val="00FE2677"/>
    <w:rsid w:val="00FE2D6B"/>
    <w:rsid w:val="00FE3CD0"/>
    <w:rsid w:val="00FE5133"/>
    <w:rsid w:val="00FF22B1"/>
    <w:rsid w:val="00FF45C7"/>
    <w:rsid w:val="00FF699D"/>
    <w:rsid w:val="00F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017C2"/>
  <w15:docId w15:val="{28D242E9-8846-4E1E-8D41-6DF74288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E15"/>
  </w:style>
  <w:style w:type="paragraph" w:styleId="Footer">
    <w:name w:val="footer"/>
    <w:basedOn w:val="Normal"/>
    <w:link w:val="FooterChar"/>
    <w:uiPriority w:val="99"/>
    <w:unhideWhenUsed/>
    <w:rsid w:val="00CD2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E15"/>
  </w:style>
  <w:style w:type="paragraph" w:styleId="BalloonText">
    <w:name w:val="Balloon Text"/>
    <w:basedOn w:val="Normal"/>
    <w:link w:val="BalloonTextChar"/>
    <w:uiPriority w:val="99"/>
    <w:semiHidden/>
    <w:unhideWhenUsed/>
    <w:rsid w:val="00CD2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15"/>
    <w:rPr>
      <w:rFonts w:ascii="Tahoma" w:hAnsi="Tahoma" w:cs="Tahoma"/>
      <w:sz w:val="16"/>
      <w:szCs w:val="16"/>
    </w:rPr>
  </w:style>
  <w:style w:type="table" w:styleId="TableGrid">
    <w:name w:val="Table Grid"/>
    <w:basedOn w:val="TableNormal"/>
    <w:uiPriority w:val="59"/>
    <w:rsid w:val="00CD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49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3366</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dc:creator>
  <cp:lastModifiedBy>Grant Seaman</cp:lastModifiedBy>
  <cp:revision>4</cp:revision>
  <cp:lastPrinted>2016-06-21T02:23:00Z</cp:lastPrinted>
  <dcterms:created xsi:type="dcterms:W3CDTF">2016-06-22T00:53:00Z</dcterms:created>
  <dcterms:modified xsi:type="dcterms:W3CDTF">2023-06-21T04:24:00Z</dcterms:modified>
</cp:coreProperties>
</file>